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bidi w:val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Додаток 1 до листа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3"/>
        <w:numPr>
          <w:ilvl w:val="0"/>
          <w:numId w:val="0"/>
        </w:numPr>
        <w:bidi w:val="0"/>
        <w:ind w:left="0" w:hanging="0"/>
        <w:jc w:val="center"/>
        <w:rPr/>
      </w:pPr>
      <w:bookmarkStart w:id="0" w:name="_Toc141217041"/>
      <w:r>
        <w:rPr/>
        <w:t>Формування та подача відомостей про участь в профспілкових організаціях</w:t>
      </w:r>
      <w:bookmarkEnd w:id="0"/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 xml:space="preserve">Користувачу - страхувальнику, що зареєструвався на Порталі ПФУ за допомогою </w:t>
      </w:r>
      <w:r>
        <w:rPr>
          <w:szCs w:val="24"/>
        </w:rPr>
        <w:t xml:space="preserve">кваліфікованого </w:t>
      </w:r>
      <w:r>
        <w:rPr>
          <w:szCs w:val="24"/>
        </w:rPr>
        <w:t xml:space="preserve">електронного підпису </w:t>
      </w:r>
      <w:r>
        <w:rPr>
          <w:szCs w:val="24"/>
        </w:rPr>
        <w:t>(КЕП)</w:t>
      </w:r>
      <w:r>
        <w:rPr>
          <w:szCs w:val="24"/>
        </w:rPr>
        <w:t xml:space="preserve">, надається можливість сформувати звернення на подачу відомостей </w:t>
      </w:r>
      <w:r>
        <w:rPr/>
        <w:t>про участь застрахованих осіб в профспілкових організаціях</w:t>
      </w:r>
      <w:r>
        <w:rPr>
          <w:szCs w:val="24"/>
        </w:rPr>
        <w:t xml:space="preserve">, підписати відомість КЕП та надіслати його до підсистеми "Звернення" </w:t>
      </w:r>
      <w:r>
        <w:rPr>
          <w:szCs w:val="24"/>
        </w:rPr>
        <w:t>Інтегрованої комплексної інформаційної системи (</w:t>
      </w:r>
      <w:r>
        <w:rPr>
          <w:szCs w:val="24"/>
        </w:rPr>
        <w:t>ІКІС</w:t>
      </w:r>
      <w:r>
        <w:rPr>
          <w:szCs w:val="24"/>
        </w:rPr>
        <w:t>)</w:t>
      </w:r>
      <w:r>
        <w:rPr>
          <w:szCs w:val="24"/>
        </w:rPr>
        <w:t xml:space="preserve"> ПФУ. 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 xml:space="preserve">Для цього призначено пункт особистого кабінету користувача "Відомості про участь застрахованих осіб в профспілкових організаціях" (під </w:t>
      </w:r>
      <w:r>
        <w:rPr/>
        <w:t xml:space="preserve">пунктом </w:t>
      </w:r>
      <w:r>
        <w:rPr/>
        <w:t>"Відомості про трудові відносини").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>При вході в режим користувачу надається відображення відомостей (</w:t>
      </w:r>
      <w:r>
        <w:rPr/>
        <w:t>Мал</w:t>
      </w:r>
      <w:r>
        <w:rPr/>
        <w:fldChar w:fldCharType="begin"/>
      </w:r>
      <w:r>
        <w:rPr/>
        <w:instrText> REF _Ref132323580 \h </w:instrText>
      </w:r>
      <w:r>
        <w:rPr/>
        <w:fldChar w:fldCharType="separate"/>
      </w:r>
      <w:r>
        <w:rPr/>
        <w:t>.   6 -1</w:t>
      </w:r>
      <w:r>
        <w:rPr/>
        <w:fldChar w:fldCharType="end"/>
      </w:r>
      <w:r>
        <w:rPr/>
        <w:t>), а саме: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секція пошуку за параметрами: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відомості (З-ПО) – ручне введення дати або використання "календаря";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кнопка "Пошук", призначена для пошуку даних; кнопка "Очистити", призначена для очищення параметрів пошуку; кнопка "Додати відомість", призначена для створення нової відомості;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секція для відображення відомостей: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відомості;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кількість записів всього;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кількість опрацьованих відомостей;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відомість – файл, призначений для завантаження;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протокол – файл з протоколом опрацювання записів відомості, призначений для завантаження.</w:t>
      </w:r>
    </w:p>
    <w:p>
      <w:pPr>
        <w:pStyle w:val="Normal"/>
        <w:bidi w:val="0"/>
        <w:spacing w:before="60" w:after="120"/>
        <w:ind w:left="284" w:firstLine="567"/>
        <w:jc w:val="both"/>
        <w:rPr/>
      </w:pPr>
      <w:r>
        <w:rPr/>
        <w:t>Для заповнення та подачі до ПФУ відомостей про участь застрахованих осіб в профспілкових організаціях (кнопка "Додати відомість") страхувальнику спочатку надається форма для заповнення даних робітника, а саме: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ЄДРПОУ страхувальника – автоматичне заповнення за даними страхувальника без права редагування; є обов’язковим для заповнення;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назва страхувальника – автоматичне заповнення за даними страхувальника без права редагування; є обов’язковим для заповнення;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дата звіту – поточна дата без права редагування;</w:t>
      </w:r>
    </w:p>
    <w:p>
      <w:pPr>
        <w:pStyle w:val="Normal"/>
        <w:numPr>
          <w:ilvl w:val="0"/>
          <w:numId w:val="3"/>
        </w:numPr>
        <w:bidi w:val="0"/>
        <w:spacing w:before="120" w:after="60"/>
        <w:jc w:val="both"/>
        <w:rPr/>
      </w:pPr>
      <w:r>
        <w:rPr/>
        <w:t>дані про участь застрахованих осіб в профспілкових організаціях – блок багатозначних атрибутів (</w:t>
      </w:r>
      <w:r>
        <w:rPr/>
        <w:t>Мал</w:t>
      </w:r>
      <w:r>
        <w:rPr/>
        <w:fldChar w:fldCharType="begin"/>
      </w:r>
      <w:r>
        <w:rPr/>
        <w:instrText> REF _Ref132323964 \h </w:instrText>
      </w:r>
      <w:r>
        <w:rPr/>
        <w:fldChar w:fldCharType="separate"/>
      </w:r>
      <w:r>
        <w:rPr/>
        <w:t>.   6 -2</w:t>
      </w:r>
      <w:r>
        <w:rPr/>
        <w:fldChar w:fldCharType="end"/>
      </w:r>
      <w:r>
        <w:rPr>
          <w:szCs w:val="24"/>
        </w:rPr>
        <w:t>)</w:t>
      </w:r>
      <w:r>
        <w:rPr/>
        <w:t xml:space="preserve"> з графами: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РНОКПП та ПІБ особи; 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піктограма для входу в детальний перегляд /редагування 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піктограма для видалення запису.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доповнення даних призначено кнопку "Додати запис".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завантаження даних з файлу узгодженої структури призначено кнопку "Завантажити" (</w:t>
      </w:r>
      <w:r>
        <w:rPr/>
        <w:t>Мал</w:t>
      </w:r>
      <w:r>
        <w:rPr/>
        <w:fldChar w:fldCharType="begin"/>
      </w:r>
      <w:r>
        <w:rPr/>
        <w:instrText> REF _Ref132324158 \h </w:instrText>
      </w:r>
      <w:r>
        <w:rPr/>
        <w:fldChar w:fldCharType="separate"/>
      </w:r>
      <w:r>
        <w:rPr/>
        <w:t>.   6 -3</w:t>
      </w:r>
      <w:r>
        <w:rPr/>
        <w:fldChar w:fldCharType="end"/>
      </w:r>
      <w:r>
        <w:rPr/>
        <w:t xml:space="preserve">). Завантаження надається, коли в зверненні записи про трудову діяльність порожні. </w:t>
      </w:r>
      <w:r>
        <w:rPr>
          <w:lang w:val="en-US"/>
        </w:rPr>
        <w:t>X</w:t>
      </w:r>
      <w:r>
        <w:rPr/>
        <w:t xml:space="preserve">ml з даними повинен мати кодову сторінку  1251. Структура xml-файлу наведено в  </w:t>
      </w:r>
      <w:r>
        <w:rPr/>
        <w:fldChar w:fldCharType="begin"/>
      </w:r>
      <w:r>
        <w:rPr/>
        <w:instrText> REF _Ref132324237 \h </w:instrText>
      </w:r>
      <w:r>
        <w:rPr/>
        <w:fldChar w:fldCharType="separate"/>
      </w:r>
      <w:r>
        <w:rPr/>
        <w:t>Таблиця   6 -1</w:t>
      </w:r>
      <w:r>
        <w:rPr/>
        <w:fldChar w:fldCharType="end"/>
      </w:r>
      <w:r>
        <w:rPr/>
        <w:t xml:space="preserve"> та нижче наведено приклад заповнення xml-файлу.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редагування запису призначено кнопку "Редагувати".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Для вилучення запису призначено кнопку "Вилучити".</w:t>
      </w:r>
    </w:p>
    <w:p>
      <w:pPr>
        <w:pStyle w:val="Normal"/>
        <w:bidi w:val="0"/>
        <w:spacing w:before="120" w:after="60"/>
        <w:ind w:left="720" w:hanging="0"/>
        <w:jc w:val="both"/>
        <w:rPr/>
      </w:pPr>
      <w:r>
        <w:rPr/>
        <w:t>При додаванні та редагуванні користувачу надається екранна форма для заповнення запису документу про трудові відносини (</w:t>
      </w:r>
      <w:r>
        <w:rPr/>
        <w:t>Мал</w:t>
      </w:r>
      <w:r>
        <w:rPr/>
        <w:fldChar w:fldCharType="begin"/>
      </w:r>
      <w:r>
        <w:rPr/>
        <w:instrText> REF _Ref132324159 \h </w:instrText>
      </w:r>
      <w:r>
        <w:rPr/>
        <w:fldChar w:fldCharType="separate"/>
      </w:r>
      <w:r>
        <w:rPr/>
        <w:t>.   6 -4</w:t>
      </w:r>
      <w:r>
        <w:rPr/>
        <w:fldChar w:fldCharType="end"/>
      </w:r>
      <w:r>
        <w:rPr/>
        <w:t>) з полями: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РНОКПП особи - ручне введення РНОКПП робітника (10 цифр);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серія та номер паспорту особи – ручне введення текстового поля;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прізвище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ім’я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по батькові - ручне введення текстового поля; поле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код за ЄДРПОУ профспілкової організації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назва профспілкової організації - ручне введення текстового поля;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початку - ручне введення дати або використання "календаря"; поле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дата припинення - ручне введення дати або використання "календаря"; поле не є обов’язковим для заповнення;</w:t>
      </w:r>
    </w:p>
    <w:p>
      <w:pPr>
        <w:pStyle w:val="Normal"/>
        <w:numPr>
          <w:ilvl w:val="0"/>
          <w:numId w:val="4"/>
        </w:numPr>
        <w:bidi w:val="0"/>
        <w:spacing w:before="120" w:after="60"/>
        <w:jc w:val="both"/>
        <w:rPr/>
      </w:pPr>
      <w:r>
        <w:rPr/>
        <w:t>ознака приналежності до профспілкової організації – вибір за допомогою випадаюочго списку; поле є обов’язковим для заповнення.</w:t>
      </w:r>
    </w:p>
    <w:p>
      <w:pPr>
        <w:pStyle w:val="Normal"/>
        <w:bidi w:val="0"/>
        <w:spacing w:before="120" w:after="60"/>
        <w:ind w:left="1080" w:hanging="0"/>
        <w:jc w:val="both"/>
        <w:rPr/>
      </w:pPr>
      <w:r>
        <w:rPr/>
        <w:t>Для збереження запису про участь в профспілковій організації призначено кнопку "Зберегти". Для виходу без збереження – кнопку "Відміна".</w:t>
      </w:r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 xml:space="preserve">Кнопка "Підписати та відправити до ПФУ" - призначена для підпису та відправки звернення до ПФУ. Надається лише після заповнення всіх необхідних даних звернення. При цьому виконується контроль наявності даних КЕП особи (зчитаних при аутентифікації на </w:t>
      </w:r>
      <w:r>
        <w:rPr>
          <w:szCs w:val="24"/>
        </w:rPr>
        <w:t>в</w:t>
      </w:r>
      <w:r>
        <w:rPr>
          <w:szCs w:val="24"/>
        </w:rPr>
        <w:t>ебпортал) – якщо дані є, вони беруться для підпису; якщо дані втрачено (в процесі роботи користувач перечитував сторінки), користувачу надається інтерфейс введення даних КЕП.</w:t>
      </w:r>
    </w:p>
    <w:p>
      <w:pPr>
        <w:pStyle w:val="Normal"/>
        <w:bidi w:val="0"/>
        <w:spacing w:before="60" w:after="120"/>
        <w:ind w:left="284" w:firstLine="567"/>
        <w:jc w:val="both"/>
        <w:rPr>
          <w:szCs w:val="24"/>
        </w:rPr>
      </w:pPr>
      <w:r>
        <w:rPr>
          <w:szCs w:val="24"/>
        </w:rPr>
        <w:t>Після коректного відправлення до ПФУ користувачу надається повідомлення "</w:t>
      </w:r>
      <w:r>
        <w:rPr/>
        <w:t>Запис збережено та відправлено на розгляд до ПФУ</w:t>
      </w:r>
      <w:r>
        <w:rPr>
          <w:szCs w:val="24"/>
        </w:rPr>
        <w:t>".</w:t>
      </w:r>
    </w:p>
    <w:p>
      <w:pPr>
        <w:pStyle w:val="Normal"/>
        <w:keepNext w:val="true"/>
        <w:bidi w:val="0"/>
        <w:spacing w:before="60" w:after="120"/>
        <w:jc w:val="center"/>
        <w:rPr>
          <w:highlight w:val="yellow"/>
        </w:rPr>
      </w:pPr>
      <w:r>
        <w:rPr/>
        <w:drawing>
          <wp:inline distT="0" distB="0" distL="0" distR="0">
            <wp:extent cx="5295900" cy="4604385"/>
            <wp:effectExtent l="0" t="0" r="0" b="0"/>
            <wp:docPr id="1" name="Рисунок 4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5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1" w:name="_Ref132323580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1"/>
      <w:r>
        <w:rPr/>
        <w:t xml:space="preserve">. Екранна форма відображення відомостей про участь робітників страхувальника в профспілкових організаціях </w:t>
      </w:r>
    </w:p>
    <w:p>
      <w:pPr>
        <w:pStyle w:val="Normal"/>
        <w:keepNext w:val="true"/>
        <w:bidi w:val="0"/>
        <w:jc w:val="center"/>
        <w:rPr/>
      </w:pPr>
      <w:r>
        <w:rPr/>
        <w:drawing>
          <wp:inline distT="0" distB="0" distL="0" distR="0">
            <wp:extent cx="4121785" cy="3268980"/>
            <wp:effectExtent l="0" t="0" r="0" b="0"/>
            <wp:docPr id="2" name="Рисунок 4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6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2" w:name="_Ref132323964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bookmarkEnd w:id="2"/>
      <w:r>
        <w:rPr/>
        <w:t>. Екранна форма звернення про надання до ПФУ відомостей про участь робітників страхувальника в профспілковій організації</w:t>
      </w:r>
    </w:p>
    <w:p>
      <w:pPr>
        <w:pStyle w:val="Normal"/>
        <w:keepNext w:val="true"/>
        <w:bidi w:val="0"/>
        <w:jc w:val="center"/>
        <w:rPr/>
      </w:pPr>
      <w:r>
        <w:rPr/>
        <w:drawing>
          <wp:inline distT="0" distB="0" distL="0" distR="0">
            <wp:extent cx="4121785" cy="3215005"/>
            <wp:effectExtent l="0" t="0" r="0" b="0"/>
            <wp:docPr id="3" name="Рисунок 4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3" w:name="_Ref132324158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3</w:t>
      </w:r>
      <w:r>
        <w:rPr/>
        <w:fldChar w:fldCharType="end"/>
      </w:r>
      <w:bookmarkEnd w:id="3"/>
      <w:r>
        <w:rPr/>
        <w:t>. Екранна форма звернення про надання до ПФУ відомостей про участь робітників страхувальника в профспілковій організації (завантаження даних)</w:t>
      </w:r>
    </w:p>
    <w:p>
      <w:pPr>
        <w:pStyle w:val="Normal"/>
        <w:keepNext w:val="true"/>
        <w:bidi w:val="0"/>
        <w:ind w:hanging="567"/>
        <w:jc w:val="center"/>
        <w:rPr/>
      </w:pPr>
      <w:r>
        <w:rPr/>
        <w:drawing>
          <wp:inline distT="0" distB="0" distL="0" distR="0">
            <wp:extent cx="6897370" cy="2260600"/>
            <wp:effectExtent l="0" t="0" r="0" b="0"/>
            <wp:docPr id="4" name="Рисунок 4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6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7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bidi w:val="0"/>
        <w:jc w:val="center"/>
        <w:rPr/>
      </w:pPr>
      <w:r>
        <w:rPr>
          <w:b/>
        </w:rPr>
        <w:t>Мал</w:t>
      </w:r>
      <w:bookmarkStart w:id="4" w:name="_Ref132324159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4</w:t>
      </w:r>
      <w:r>
        <w:rPr/>
        <w:fldChar w:fldCharType="end"/>
      </w:r>
      <w:bookmarkEnd w:id="4"/>
      <w:r>
        <w:rPr/>
        <w:t>. Екранна форма заповнення даних робітника та записи щодо участі робітника в профспілкових організаціях</w:t>
      </w:r>
    </w:p>
    <w:p>
      <w:pPr>
        <w:pStyle w:val="Normal"/>
        <w:keepNext w:val="true"/>
        <w:bidi w:val="0"/>
        <w:ind w:hanging="709"/>
        <w:jc w:val="center"/>
        <w:rPr/>
      </w:pPr>
      <w:r>
        <w:rPr/>
        <w:drawing>
          <wp:inline distT="0" distB="0" distL="0" distR="0">
            <wp:extent cx="7124700" cy="1569720"/>
            <wp:effectExtent l="0" t="0" r="0" b="0"/>
            <wp:docPr id="5" name="Рисунок 4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6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Мал</w:t>
      </w:r>
      <w:bookmarkStart w:id="5" w:name="_Ref132323377"/>
      <w:r>
        <w:rPr/>
        <w:t xml:space="preserve">.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Рис. \* ARABIC </w:instrText>
      </w:r>
      <w:r>
        <w:rPr/>
        <w:fldChar w:fldCharType="separate"/>
      </w:r>
      <w:r>
        <w:rPr/>
        <w:t>5</w:t>
      </w:r>
      <w:r>
        <w:rPr/>
        <w:fldChar w:fldCharType="end"/>
      </w:r>
      <w:bookmarkEnd w:id="5"/>
      <w:r>
        <w:rPr/>
        <w:t xml:space="preserve">. Екранна форма заповнення запису щодо участі робітника в профспілковій організації </w:t>
      </w:r>
    </w:p>
    <w:p>
      <w:pPr>
        <w:pStyle w:val="Caption"/>
        <w:keepNext w:val="true"/>
        <w:bidi w:val="0"/>
        <w:jc w:val="right"/>
        <w:rPr/>
      </w:pPr>
      <w:bookmarkStart w:id="6" w:name="_Ref132324237"/>
      <w:r>
        <w:rPr/>
        <w:t xml:space="preserve">Таблиця </w:t>
      </w:r>
      <w:r>
        <w:fldChar w:fldCharType="begin"/>
      </w:r>
      <w:r>
        <w:rPr/>
        <w:instrText>STYLEREF 1 \s</w:instrText>
      </w:r>
      <w:r>
        <w:rPr/>
      </w:r>
      <w:r>
        <w:rPr/>
        <w:fldChar w:fldCharType="separate"/>
      </w:r>
      <w:r>
        <w:rPr/>
        <w:t>6</w:t>
      </w:r>
      <w:r>
        <w:rPr/>
      </w:r>
      <w:r>
        <w:rPr/>
        <w:fldChar w:fldCharType="end"/>
      </w:r>
      <w:r>
        <w:rPr/>
        <w:noBreakHyphen/>
      </w:r>
      <w:r>
        <w:rPr/>
        <w:fldChar w:fldCharType="begin"/>
      </w:r>
      <w:r>
        <w:rPr/>
        <w:instrText> SEQ Таблиця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6"/>
      <w:r>
        <w:rPr/>
        <w:t>. Опис атрибутів заповнення xml-файлу з інформаціє про участь застрахованих осіб в профспілкових організаціях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5"/>
        <w:gridCol w:w="2559"/>
        <w:gridCol w:w="3921"/>
        <w:gridCol w:w="2122"/>
      </w:tblGrid>
      <w:tr>
        <w:trPr>
          <w:tblHeader w:val="true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з/п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Назва тегу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Вміст тегу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Обов’язковість заповнення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Загальний блок – DOCUMENT 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Страхувальник – EMPLOYER 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color w:val="990000"/>
                <w:szCs w:val="24"/>
              </w:rPr>
              <w:t>EDRPO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Код за ЄДРПОУ страхувальника, який надає відомості про трудову діяльність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Блок по застрахованих особах – PERSONS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Персональні дані застрахованої особи – PERSON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ROWNUM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Номер запису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RNOKPP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РНОКПП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Обов’язковим є заповнення або RNOKPP або  PASPORT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PASPORT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паспорта застрахованої особи (2 букви кирилиці та 6 цифр або 9 цифр)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SURNAME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Прізвище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NAME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Ім’я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PATRONYMIC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По застрахованої особи - члена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Блок записів для застрахованої особи – RECORDS</w:t>
            </w:r>
          </w:p>
        </w:tc>
      </w:tr>
      <w:tr>
        <w:trPr/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Записи трудової книжки – RECORD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DATE_BEGIN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Дата початку перебування 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990000"/>
                <w:szCs w:val="24"/>
              </w:rPr>
            </w:pPr>
            <w:r>
              <w:rPr>
                <w:color w:val="990000"/>
                <w:szCs w:val="24"/>
              </w:rPr>
              <w:t>DATE_END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Дата припинення перебування членом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Ні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  <w:lang w:val="en-US"/>
              </w:rPr>
            </w:pPr>
            <w:r>
              <w:rPr>
                <w:color w:val="990000"/>
                <w:szCs w:val="24"/>
              </w:rPr>
              <w:t>EDRPO_</w:t>
            </w:r>
            <w:r>
              <w:rPr>
                <w:color w:val="990000"/>
                <w:szCs w:val="24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ЄДРПОУ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  <w:lang w:val="en-US"/>
              </w:rPr>
            </w:pPr>
            <w:r>
              <w:rPr>
                <w:color w:val="990000"/>
                <w:szCs w:val="24"/>
              </w:rPr>
              <w:t>NAME_</w:t>
            </w:r>
            <w:r>
              <w:rPr>
                <w:color w:val="990000"/>
                <w:szCs w:val="24"/>
                <w:lang w:val="en-US"/>
              </w:rPr>
              <w:t>ORG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Назва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  <w:tr>
        <w:trPr/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color w:val="990000"/>
                <w:szCs w:val="24"/>
              </w:rPr>
              <w:t>ACTION_TYPE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Ознака приналежності до профспілкової організації: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внеску за заявою особи з заробітної плати до профспілкової організації (дата початку перебування особи членом профспілки наявна)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– </w:t>
            </w:r>
            <w:r>
              <w:rPr>
                <w:color w:val="000000"/>
                <w:sz w:val="22"/>
                <w:szCs w:val="22"/>
                <w:lang w:eastAsia="en-US"/>
              </w:rPr>
              <w:t>проводяться перерахування членського внеску за заявою особи з заробітної плати до профспілкової організації  (дата початку перебування особи її членом не відома)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00" w:leader="none"/>
              </w:tabs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– </w:t>
            </w:r>
            <w:r>
              <w:rPr>
                <w:color w:val="000000"/>
                <w:sz w:val="22"/>
                <w:szCs w:val="22"/>
                <w:lang w:eastAsia="en-US"/>
              </w:rPr>
              <w:t>відрахування з заробітної плати не здійснюються, але наявна інформація про належність про профспілкової організації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szCs w:val="24"/>
              </w:rPr>
            </w:pPr>
            <w:r>
              <w:rPr>
                <w:szCs w:val="24"/>
              </w:rPr>
              <w:t>Так</w:t>
            </w:r>
          </w:p>
        </w:tc>
      </w:tr>
    </w:tbl>
    <w:p>
      <w:pPr>
        <w:pStyle w:val="Normal"/>
        <w:bidi w:val="0"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bidi w:val="0"/>
        <w:jc w:val="left"/>
        <w:rPr>
          <w:b/>
          <w:b/>
          <w:szCs w:val="24"/>
        </w:rPr>
      </w:pPr>
      <w:r>
        <w:rPr>
          <w:b/>
          <w:szCs w:val="24"/>
        </w:rPr>
        <w:t xml:space="preserve">Приклад xml–файлу з даними про участь працівників страхувальника в профспілкових організаціях: </w:t>
      </w:r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hyperlink r:id="rId7">
        <w:r>
          <w:rPr>
            <w:rFonts w:eastAsia="Calibri"/>
            <w:color w:val="000000"/>
            <w:szCs w:val="24"/>
          </w:rPr>
          <w:t>&lt;DOCUMENT&gt;</w:t>
        </w:r>
      </w:hyperlink>
    </w:p>
    <w:p>
      <w:pPr>
        <w:pStyle w:val="Normal"/>
        <w:bidi w:val="0"/>
        <w:spacing w:before="0" w:after="120"/>
        <w:contextualSpacing/>
        <w:jc w:val="left"/>
        <w:rPr>
          <w:rStyle w:val="Style13"/>
          <w:rFonts w:eastAsia="Calibri"/>
          <w:color w:val="000000"/>
          <w:szCs w:val="24"/>
        </w:rPr>
      </w:pPr>
      <w:r>
        <w:rPr>
          <w:rStyle w:val="Style13"/>
          <w:rFonts w:eastAsia="Calibri"/>
          <w:color w:val="000000"/>
          <w:szCs w:val="24"/>
        </w:rPr>
        <w:tab/>
      </w:r>
      <w:hyperlink r:id="rId8">
        <w:r>
          <w:rPr>
            <w:rFonts w:eastAsia="Calibri"/>
            <w:color w:val="000000"/>
            <w:szCs w:val="24"/>
          </w:rPr>
          <w:t>&lt;EMPLOYER&gt;</w:t>
        </w:r>
      </w:hyperlink>
    </w:p>
    <w:p>
      <w:pPr>
        <w:pStyle w:val="Normal"/>
        <w:bidi w:val="0"/>
        <w:spacing w:before="0" w:after="120"/>
        <w:ind w:left="72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&lt;EDRPOU&gt;11223344&lt;/EDRPOU&gt;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&lt;/EMPLOYER 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hyperlink r:id="rId9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szCs w:val="24"/>
            <w:lang w:val="en-US"/>
          </w:rPr>
          <w:t>PERSONS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0">
        <w:r>
          <w:rPr>
            <w:rStyle w:val="Block"/>
            <w:rFonts w:eastAsia="Calibri"/>
            <w:szCs w:val="24"/>
          </w:rPr>
          <w:t>&lt;PERSON&gt;</w:t>
        </w:r>
      </w:hyperlink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&lt;ROWNUM&gt;1&lt;/ROWNUM&gt;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&lt;RNOKPP&gt;1122334455&lt;/RNOKPP&gt;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&gt;1</w:t>
      </w:r>
      <w:r>
        <w:rPr>
          <w:color w:val="000000"/>
          <w:szCs w:val="24"/>
          <w:lang w:val="en-US"/>
        </w:rPr>
        <w:t>23456789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&lt;SURNAME&gt;ІВАНЕНКО&lt;/SURNAME&gt;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&lt;NAME&gt;ПЕТРО&lt;/NAME&gt;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&lt;PATRONYMIC&gt;ІВАНОВИЧ&lt;/PATRONYMIC&gt;</w:t>
      </w:r>
    </w:p>
    <w:p>
      <w:pPr>
        <w:pStyle w:val="Normal"/>
        <w:bidi w:val="0"/>
        <w:spacing w:before="0" w:after="120"/>
        <w:ind w:left="720" w:hanging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              </w:t>
      </w:r>
      <w:hyperlink r:id="rId11">
        <w:r>
          <w:rPr>
            <w:rFonts w:eastAsia="Calibri"/>
            <w:color w:val="000000"/>
            <w:szCs w:val="24"/>
          </w:rPr>
          <w:t>&lt;RECORDS&gt;</w:t>
        </w:r>
      </w:hyperlink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2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2000-10-25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&gt;12345234/&gt;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ПЕРША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ПРОФСПІЛКА&lt;/NAME_LR&gt;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&lt;ACTION_TYPE&gt;1&lt;/ACTION_TYPE&gt;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3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2010-10-25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&gt;23452345/&gt;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ДРУГА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ПРОФСПІЛКА&lt;/NAME_LR&gt;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&lt;ACTION_TYPE&gt;2&lt;/ACTION_TYPE&gt;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4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color w:val="000000"/>
            <w:szCs w:val="24"/>
          </w:rPr>
          <w:t>/</w:t>
        </w:r>
        <w:r>
          <w:rPr>
            <w:rStyle w:val="Block"/>
            <w:rFonts w:eastAsia="Calibri"/>
            <w:szCs w:val="24"/>
            <w:lang w:val="en-US"/>
          </w:rPr>
          <w:t>PERSON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5">
        <w:r>
          <w:rPr>
            <w:rStyle w:val="Block"/>
            <w:rFonts w:eastAsia="Calibri"/>
            <w:szCs w:val="24"/>
          </w:rPr>
          <w:t>&lt;</w:t>
        </w:r>
        <w:r>
          <w:rPr>
            <w:rStyle w:val="Block"/>
            <w:rFonts w:eastAsia="Calibri"/>
            <w:szCs w:val="24"/>
            <w:lang w:val="en-US"/>
          </w:rPr>
          <w:t>PERSON</w:t>
        </w:r>
        <w:r>
          <w:rPr>
            <w:rStyle w:val="Block"/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&lt;ROWNUM&gt;</w:t>
      </w:r>
      <w:r>
        <w:rPr>
          <w:color w:val="000000"/>
          <w:szCs w:val="24"/>
          <w:lang w:val="en-US"/>
        </w:rPr>
        <w:t>2</w:t>
      </w:r>
      <w:r>
        <w:rPr>
          <w:color w:val="000000"/>
          <w:szCs w:val="24"/>
        </w:rPr>
        <w:t>&lt;/ROWNUM&gt;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&lt;RNOKPP&gt;</w:t>
      </w:r>
      <w:r>
        <w:rPr>
          <w:color w:val="000000"/>
          <w:szCs w:val="24"/>
          <w:lang w:val="en-US"/>
        </w:rPr>
        <w:t>2345234523</w:t>
      </w:r>
      <w:r>
        <w:rPr>
          <w:color w:val="000000"/>
          <w:szCs w:val="24"/>
        </w:rPr>
        <w:t>&lt;/RNOKPP&gt;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  <w:r>
        <w:rPr>
          <w:color w:val="000000"/>
          <w:szCs w:val="24"/>
          <w:lang w:val="ru-RU"/>
        </w:rPr>
        <w:t>АА</w:t>
      </w:r>
      <w:r>
        <w:rPr>
          <w:color w:val="000000"/>
          <w:szCs w:val="24"/>
          <w:lang w:val="en-US"/>
        </w:rPr>
        <w:t>123123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PASPORT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&lt;SURNAME&gt;ПЕТРЕНКО&lt;/SURNAME&gt;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&lt;NAME&gt;ОЛЬГА&lt;/NAME&gt;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&lt;PATRONYMIC&gt;СЕРГІЇВНА&lt;/PATRONYMIC&gt;</w:t>
      </w:r>
    </w:p>
    <w:p>
      <w:pPr>
        <w:pStyle w:val="Normal"/>
        <w:bidi w:val="0"/>
        <w:spacing w:before="0" w:after="120"/>
        <w:ind w:left="720" w:hanging="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 xml:space="preserve">              </w:t>
      </w:r>
      <w:hyperlink r:id="rId16">
        <w:r>
          <w:rPr>
            <w:rFonts w:eastAsia="Calibri"/>
            <w:color w:val="000000"/>
            <w:szCs w:val="24"/>
          </w:rPr>
          <w:t>&lt;RECORDS&gt;</w:t>
        </w:r>
      </w:hyperlink>
    </w:p>
    <w:p>
      <w:pPr>
        <w:pStyle w:val="Normal"/>
        <w:bidi w:val="0"/>
        <w:ind w:right="140" w:hanging="0"/>
        <w:jc w:val="left"/>
        <w:rPr>
          <w:szCs w:val="24"/>
        </w:rPr>
      </w:pPr>
      <w:r>
        <w:rPr>
          <w:szCs w:val="24"/>
        </w:rPr>
        <w:t xml:space="preserve">                                          </w:t>
      </w:r>
      <w:hyperlink r:id="rId17">
        <w:r>
          <w:rPr>
            <w:rFonts w:eastAsia="Calibri"/>
            <w:color w:val="000000"/>
            <w:szCs w:val="24"/>
          </w:rPr>
          <w:t>&lt;RECORD&gt;</w:t>
        </w:r>
      </w:hyperlink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BEGIN</w:t>
      </w:r>
      <w:r>
        <w:rPr>
          <w:color w:val="000000"/>
          <w:szCs w:val="24"/>
        </w:rPr>
        <w:t>&gt;</w:t>
      </w:r>
      <w:r>
        <w:rPr>
          <w:szCs w:val="24"/>
        </w:rPr>
        <w:t>2020-10-25</w:t>
      </w:r>
      <w:r>
        <w:rPr>
          <w:color w:val="000000"/>
          <w:szCs w:val="24"/>
        </w:rPr>
        <w:t>&lt;/</w:t>
      </w:r>
      <w:r>
        <w:rPr>
          <w:color w:val="000000"/>
          <w:szCs w:val="24"/>
          <w:lang w:val="en-US"/>
        </w:rPr>
        <w:t>DATE_BEGIN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</w:t>
      </w:r>
      <w:r>
        <w:rPr>
          <w:color w:val="000000"/>
          <w:szCs w:val="24"/>
          <w:lang w:val="en-US"/>
        </w:rPr>
        <w:t>DATE</w:t>
      </w:r>
      <w:r>
        <w:rPr>
          <w:color w:val="000000"/>
          <w:szCs w:val="24"/>
        </w:rPr>
        <w:t>_</w:t>
      </w:r>
      <w:r>
        <w:rPr>
          <w:color w:val="000000"/>
          <w:szCs w:val="24"/>
          <w:lang w:val="en-US"/>
        </w:rPr>
        <w:t>END</w:t>
      </w:r>
      <w:r>
        <w:rPr>
          <w:color w:val="000000"/>
          <w:szCs w:val="24"/>
        </w:rPr>
        <w:t>&gt;2021-02-26&lt;/</w:t>
      </w:r>
      <w:r>
        <w:rPr>
          <w:color w:val="000000"/>
          <w:szCs w:val="24"/>
          <w:lang w:val="en-US"/>
        </w:rPr>
        <w:t>DATE_END</w:t>
      </w:r>
      <w:r>
        <w:rPr>
          <w:color w:val="000000"/>
          <w:szCs w:val="24"/>
        </w:rPr>
        <w:t>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&lt;EDRPO_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&gt;11111111/&gt;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&lt;NAME_</w:t>
      </w:r>
      <w:r>
        <w:rPr>
          <w:color w:val="000000"/>
          <w:szCs w:val="24"/>
          <w:lang w:val="en-US"/>
        </w:rPr>
        <w:t>ORG</w:t>
      </w:r>
      <w:r>
        <w:rPr>
          <w:color w:val="000000"/>
          <w:szCs w:val="24"/>
        </w:rPr>
        <w:t>&gt;НОВА&lt;/NAME_LR&gt;</w:t>
      </w:r>
    </w:p>
    <w:p>
      <w:pPr>
        <w:pStyle w:val="Normal"/>
        <w:bidi w:val="0"/>
        <w:spacing w:before="0" w:after="120"/>
        <w:ind w:left="2160" w:firstLine="720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&lt;ACTION_TYPE&gt;2&lt;/ACTION_TYPE&gt;</w:t>
      </w:r>
    </w:p>
    <w:p>
      <w:pPr>
        <w:pStyle w:val="Normal"/>
        <w:bidi w:val="0"/>
        <w:spacing w:before="0" w:after="120"/>
        <w:ind w:left="1440" w:firstLine="720"/>
        <w:contextualSpacing/>
        <w:jc w:val="left"/>
        <w:rPr>
          <w:rStyle w:val="Block"/>
          <w:rFonts w:eastAsia="Calibri"/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 xml:space="preserve">    </w:t>
      </w:r>
      <w:r>
        <w:rPr>
          <w:rStyle w:val="Block"/>
          <w:rFonts w:eastAsia="Calibri"/>
          <w:color w:val="000000"/>
          <w:szCs w:val="24"/>
        </w:rPr>
        <w:t>&lt;/RECORD&gt;</w:t>
      </w:r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r>
        <w:rPr>
          <w:rStyle w:val="Block"/>
          <w:rFonts w:eastAsia="Calibri"/>
          <w:szCs w:val="24"/>
        </w:rPr>
        <w:tab/>
      </w:r>
      <w:hyperlink r:id="rId18">
        <w:r>
          <w:rPr>
            <w:rFonts w:eastAsia="Calibri"/>
            <w:szCs w:val="24"/>
          </w:rPr>
          <w:t>&lt;</w:t>
        </w:r>
        <w:r>
          <w:rPr>
            <w:rFonts w:eastAsia="Calibri"/>
            <w:color w:val="000000"/>
            <w:szCs w:val="24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  <w:szCs w:val="24"/>
          </w:rPr>
          <w:t>PERSON&gt;</w:t>
        </w:r>
      </w:hyperlink>
    </w:p>
    <w:p>
      <w:pPr>
        <w:pStyle w:val="Normal"/>
        <w:bidi w:val="0"/>
        <w:spacing w:before="0" w:after="120"/>
        <w:ind w:firstLine="720"/>
        <w:contextualSpacing/>
        <w:jc w:val="left"/>
        <w:rPr>
          <w:rStyle w:val="Block"/>
          <w:rFonts w:eastAsia="Calibri"/>
          <w:szCs w:val="24"/>
        </w:rPr>
      </w:pPr>
      <w:hyperlink r:id="rId19">
        <w:r>
          <w:rPr>
            <w:rFonts w:eastAsia="Calibri"/>
            <w:szCs w:val="24"/>
          </w:rPr>
          <w:t>&lt;</w:t>
        </w:r>
        <w:r>
          <w:rPr>
            <w:rFonts w:eastAsia="Calibri"/>
            <w:color w:val="000000"/>
            <w:szCs w:val="24"/>
          </w:rPr>
          <w:t>/</w:t>
        </w:r>
        <w:r>
          <w:rPr>
            <w:rFonts w:eastAsia="Calibri"/>
          </w:rPr>
          <w:t xml:space="preserve"> </w:t>
        </w:r>
        <w:r>
          <w:rPr>
            <w:rFonts w:eastAsia="Calibri"/>
            <w:szCs w:val="24"/>
          </w:rPr>
          <w:t>PERSON</w:t>
        </w:r>
        <w:r>
          <w:rPr>
            <w:rFonts w:eastAsia="Calibri"/>
            <w:color w:val="000000"/>
            <w:szCs w:val="24"/>
          </w:rPr>
          <w:t>S</w:t>
        </w:r>
        <w:r>
          <w:rPr>
            <w:rFonts w:eastAsia="Calibri"/>
            <w:szCs w:val="24"/>
          </w:rPr>
          <w:t>&gt;</w:t>
        </w:r>
      </w:hyperlink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&lt;/DOCUMENT&gt;”</w:t>
      </w:r>
    </w:p>
    <w:p>
      <w:pPr>
        <w:pStyle w:val="Normal"/>
        <w:bidi w:val="0"/>
        <w:spacing w:before="0" w:after="120"/>
        <w:contextualSpacing/>
        <w:jc w:val="left"/>
        <w:rPr>
          <w:color w:val="000000"/>
          <w:szCs w:val="24"/>
        </w:rPr>
      </w:pPr>
      <w:r>
        <w:rPr/>
      </w:r>
    </w:p>
    <w:p>
      <w:pPr>
        <w:pStyle w:val="Normal"/>
        <w:bidi w:val="0"/>
        <w:spacing w:before="0" w:after="120"/>
        <w:contextualSpacing/>
        <w:jc w:val="center"/>
        <w:rPr>
          <w:color w:val="000000"/>
          <w:szCs w:val="24"/>
        </w:rPr>
      </w:pPr>
      <w:r>
        <w:rPr>
          <w:rStyle w:val="Block"/>
          <w:rFonts w:eastAsia="Calibri"/>
          <w:color w:val="000000"/>
          <w:szCs w:val="24"/>
        </w:rPr>
        <w:t>________________________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6"/>
      <w:numFmt w:val="decimal"/>
      <w:lvlText w:val="Розділ %1.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0" w:hanging="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0" w:hanging="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260"/>
        </w:tabs>
        <w:ind w:left="180" w:hanging="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uk-UA" w:eastAsia="zh-CN" w:bidi="hi-I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1418" w:leader="none"/>
      </w:tabs>
      <w:spacing w:before="0" w:after="0"/>
      <w:outlineLvl w:val="2"/>
    </w:pPr>
    <w:rPr>
      <w:b/>
      <w:szCs w:val="24"/>
    </w:rPr>
  </w:style>
  <w:style w:type="character" w:styleId="Block">
    <w:name w:val="block"/>
    <w:qFormat/>
    <w:rPr/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Style14">
    <w:name w:val="Посещённая гиперссылка"/>
    <w:rPr>
      <w:rFonts w:cs="Times New Roman"/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file:///P:/data.xml" TargetMode="External"/><Relationship Id="rId8" Type="http://schemas.openxmlformats.org/officeDocument/2006/relationships/hyperlink" Target="file:///P:/data.xml" TargetMode="External"/><Relationship Id="rId9" Type="http://schemas.openxmlformats.org/officeDocument/2006/relationships/hyperlink" Target="file:///P:/data.xml" TargetMode="External"/><Relationship Id="rId10" Type="http://schemas.openxmlformats.org/officeDocument/2006/relationships/hyperlink" Target="file:///P:/data.xml" TargetMode="External"/><Relationship Id="rId11" Type="http://schemas.openxmlformats.org/officeDocument/2006/relationships/hyperlink" Target="file:///P:/data.xml" TargetMode="External"/><Relationship Id="rId12" Type="http://schemas.openxmlformats.org/officeDocument/2006/relationships/hyperlink" Target="file:///P:/data.xml" TargetMode="External"/><Relationship Id="rId13" Type="http://schemas.openxmlformats.org/officeDocument/2006/relationships/hyperlink" Target="file:///P:/data.xml" TargetMode="External"/><Relationship Id="rId14" Type="http://schemas.openxmlformats.org/officeDocument/2006/relationships/hyperlink" Target="file:///P:/data.xml" TargetMode="External"/><Relationship Id="rId15" Type="http://schemas.openxmlformats.org/officeDocument/2006/relationships/hyperlink" Target="file:///P:/data.xml" TargetMode="External"/><Relationship Id="rId16" Type="http://schemas.openxmlformats.org/officeDocument/2006/relationships/hyperlink" Target="file:///P:/data.xml" TargetMode="External"/><Relationship Id="rId17" Type="http://schemas.openxmlformats.org/officeDocument/2006/relationships/hyperlink" Target="file:///P:/data.xml" TargetMode="External"/><Relationship Id="rId18" Type="http://schemas.openxmlformats.org/officeDocument/2006/relationships/hyperlink" Target="file:///P:/data.xml" TargetMode="External"/><Relationship Id="rId19" Type="http://schemas.openxmlformats.org/officeDocument/2006/relationships/hyperlink" Target="file:///P:/data.xml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LibreOffice/7.2.0.4$Windows_X86_64 LibreOffice_project/9a9c6381e3f7a62afc1329bd359cc48accb6435b</Application>
  <AppVersion>15.0000</AppVersion>
  <Pages>7</Pages>
  <Words>975</Words>
  <Characters>6809</Characters>
  <CharactersWithSpaces>7790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2023-09-21T10:31:25Z</dcterms:created>
  <dc:creator/>
  <dc:description/>
  <dc:language>ru-RU</dc:language>
  <cp:lastModifiedBy/>
  <dcterms:modified xsi:type="dcterms:W3CDTF">2023-09-21T10:38:50Z</dcterms:modified>
  <cp:revision>2</cp:revision>
  <dc:subject/>
  <dc:title/>
</cp:coreProperties>
</file>