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AA76" w14:textId="2305015B" w:rsidR="00605C72" w:rsidRPr="006315E7" w:rsidRDefault="006C2B2A">
      <w:pPr>
        <w:pStyle w:val="11"/>
        <w:spacing w:after="240"/>
        <w:ind w:firstLine="0"/>
        <w:jc w:val="center"/>
        <w:rPr>
          <w:b/>
          <w:bCs/>
        </w:rPr>
      </w:pPr>
      <w:r w:rsidRPr="006315E7">
        <w:rPr>
          <w:b/>
          <w:bCs/>
        </w:rPr>
        <w:t>Аналіз р</w:t>
      </w:r>
      <w:r w:rsidR="00FC1610" w:rsidRPr="006315E7">
        <w:rPr>
          <w:b/>
          <w:bCs/>
        </w:rPr>
        <w:t>егуляторного впливу</w:t>
      </w:r>
      <w:r w:rsidR="00FC1610" w:rsidRPr="006315E7">
        <w:rPr>
          <w:b/>
          <w:bCs/>
        </w:rPr>
        <w:br/>
      </w:r>
      <w:r w:rsidR="0006033F" w:rsidRPr="006315E7">
        <w:rPr>
          <w:rFonts w:cs="Arial"/>
          <w:b/>
          <w:bCs/>
        </w:rPr>
        <w:t>розпорядження керівника</w:t>
      </w:r>
      <w:r w:rsidR="00FC1610" w:rsidRPr="006315E7">
        <w:rPr>
          <w:b/>
          <w:bCs/>
        </w:rPr>
        <w:t xml:space="preserve"> </w:t>
      </w:r>
      <w:r w:rsidR="0006033F" w:rsidRPr="006315E7">
        <w:rPr>
          <w:b/>
          <w:bCs/>
        </w:rPr>
        <w:t xml:space="preserve">Сєвєродонецької міської військово-цивільної адміністрації </w:t>
      </w:r>
      <w:r w:rsidRPr="006315E7">
        <w:rPr>
          <w:b/>
          <w:bCs/>
        </w:rPr>
        <w:t>«</w:t>
      </w:r>
      <w:r w:rsidR="0006033F" w:rsidRPr="006315E7">
        <w:rPr>
          <w:b/>
          <w:bCs/>
        </w:rPr>
        <w:t>Про затвердження Методики розрахунку орендної плати за комунальне майно Сєвєродонецької міської територіальної громади</w:t>
      </w:r>
      <w:r w:rsidR="00372F45">
        <w:rPr>
          <w:b/>
          <w:bCs/>
        </w:rPr>
        <w:t>»</w:t>
      </w:r>
    </w:p>
    <w:p w14:paraId="137751E7" w14:textId="77777777" w:rsidR="00605C72" w:rsidRPr="003B0E9E" w:rsidRDefault="006C2B2A">
      <w:pPr>
        <w:pStyle w:val="13"/>
        <w:keepNext/>
        <w:keepLines/>
        <w:numPr>
          <w:ilvl w:val="0"/>
          <w:numId w:val="1"/>
        </w:numPr>
        <w:tabs>
          <w:tab w:val="left" w:pos="298"/>
        </w:tabs>
        <w:spacing w:after="240"/>
      </w:pPr>
      <w:bookmarkStart w:id="0" w:name="bookmark2"/>
      <w:bookmarkStart w:id="1" w:name="bookmark0"/>
      <w:bookmarkStart w:id="2" w:name="bookmark1"/>
      <w:bookmarkStart w:id="3" w:name="bookmark3"/>
      <w:bookmarkEnd w:id="0"/>
      <w:r w:rsidRPr="003B0E9E">
        <w:t>Визначення проблеми</w:t>
      </w:r>
      <w:bookmarkEnd w:id="1"/>
      <w:bookmarkEnd w:id="2"/>
      <w:bookmarkEnd w:id="3"/>
    </w:p>
    <w:p w14:paraId="51188B7D" w14:textId="43D66083" w:rsidR="00605C72" w:rsidRDefault="006C2B2A">
      <w:pPr>
        <w:pStyle w:val="11"/>
        <w:ind w:firstLine="740"/>
        <w:jc w:val="both"/>
      </w:pPr>
      <w:r w:rsidRPr="00AE1414">
        <w:t>Верховною Радою України прийнято Закон України від 03</w:t>
      </w:r>
      <w:r w:rsidR="003B0E9E">
        <w:t>.10.</w:t>
      </w:r>
      <w:r w:rsidRPr="00AE1414">
        <w:t>2019 №157-ІХ «Про оренду державного та комунального майна України»</w:t>
      </w:r>
      <w:r w:rsidR="00AE1414" w:rsidRPr="00AE1414">
        <w:t xml:space="preserve"> (далі – Закон)</w:t>
      </w:r>
      <w:r w:rsidRPr="00AE1414">
        <w:t xml:space="preserve">, </w:t>
      </w:r>
      <w:r w:rsidR="00D762F4" w:rsidRPr="00AE1414">
        <w:t xml:space="preserve">частиною 2 ст. 17 якого передбачається, що у разі передачі в оренду </w:t>
      </w:r>
      <w:r w:rsidR="00AE1414" w:rsidRPr="00AE1414">
        <w:t xml:space="preserve">комунального </w:t>
      </w:r>
      <w:r w:rsidR="00D762F4" w:rsidRPr="00AE1414">
        <w:t xml:space="preserve">майна без проведення аукціону орендна плата визначається відповідно до Методики розрахунку орендної плати, яка затверджується представницьким органом місцевого самоврядування. </w:t>
      </w:r>
    </w:p>
    <w:p w14:paraId="73568345" w14:textId="4310CF26" w:rsidR="00B836CC" w:rsidRDefault="007029A9" w:rsidP="00B836CC">
      <w:pPr>
        <w:pStyle w:val="11"/>
        <w:ind w:firstLine="740"/>
        <w:jc w:val="both"/>
        <w:rPr>
          <w:color w:val="auto"/>
        </w:rPr>
      </w:pPr>
      <w:r w:rsidRPr="003B0E9E">
        <w:t xml:space="preserve">На теперішній час на </w:t>
      </w:r>
      <w:r w:rsidR="003B0E9E" w:rsidRPr="003B0E9E">
        <w:t>території</w:t>
      </w:r>
      <w:r w:rsidRPr="003B0E9E">
        <w:t xml:space="preserve"> Сєвєродонецької міської територіальної громади діє </w:t>
      </w:r>
      <w:r w:rsidR="003B0E9E">
        <w:t>«</w:t>
      </w:r>
      <w:r w:rsidRPr="003B0E9E">
        <w:t xml:space="preserve">Методика розрахунку та порядку використання плати </w:t>
      </w:r>
      <w:r w:rsidR="003B0E9E" w:rsidRPr="003B0E9E">
        <w:t xml:space="preserve">за </w:t>
      </w:r>
      <w:r w:rsidRPr="003B0E9E">
        <w:t>оренд</w:t>
      </w:r>
      <w:r w:rsidR="003B0E9E" w:rsidRPr="003B0E9E">
        <w:t>у майна, що є власністю територіальної громади м.</w:t>
      </w:r>
      <w:r w:rsidR="003B0E9E">
        <w:t xml:space="preserve"> </w:t>
      </w:r>
      <w:r w:rsidR="003B0E9E" w:rsidRPr="003B0E9E">
        <w:t xml:space="preserve">Сєвєродонецька Луганської області», </w:t>
      </w:r>
      <w:r w:rsidR="003B0E9E">
        <w:t>яка</w:t>
      </w:r>
      <w:r w:rsidRPr="003B0E9E">
        <w:t xml:space="preserve"> затверджен</w:t>
      </w:r>
      <w:r w:rsidR="003B0E9E">
        <w:t xml:space="preserve">а </w:t>
      </w:r>
      <w:r w:rsidRPr="003B0E9E">
        <w:t xml:space="preserve">рішенням </w:t>
      </w:r>
      <w:r w:rsidR="003B0E9E" w:rsidRPr="003B0E9E">
        <w:t xml:space="preserve">Сєвєродонецької </w:t>
      </w:r>
      <w:r w:rsidRPr="003B0E9E">
        <w:t xml:space="preserve">міської ради від </w:t>
      </w:r>
      <w:r w:rsidR="003B0E9E" w:rsidRPr="003B0E9E">
        <w:t>22.12.2017</w:t>
      </w:r>
      <w:r w:rsidRPr="003B0E9E">
        <w:t xml:space="preserve"> №</w:t>
      </w:r>
      <w:r w:rsidR="00156B39">
        <w:t>2113</w:t>
      </w:r>
      <w:r w:rsidR="003B0E9E">
        <w:t>.</w:t>
      </w:r>
      <w:r w:rsidRPr="003B0E9E">
        <w:t xml:space="preserve"> </w:t>
      </w:r>
      <w:r w:rsidR="003B0E9E" w:rsidRPr="003B0E9E">
        <w:t xml:space="preserve">Слід відмітити, що у зв’язку з введенням в дію Закону зазначена Методика діє лише в частині, яка не суперечить вимогам Закону. </w:t>
      </w:r>
      <w:r w:rsidR="00B836CC">
        <w:t xml:space="preserve">З огляду на зазначене, </w:t>
      </w:r>
      <w:r w:rsidR="00156B39">
        <w:t>виникла</w:t>
      </w:r>
      <w:r w:rsidR="00B836CC">
        <w:t xml:space="preserve"> потреба в </w:t>
      </w:r>
      <w:r w:rsidR="00156B39">
        <w:t>підготовці</w:t>
      </w:r>
      <w:r w:rsidR="00B836CC">
        <w:t xml:space="preserve"> відповідного нормативного </w:t>
      </w:r>
      <w:proofErr w:type="spellStart"/>
      <w:r w:rsidR="00B836CC">
        <w:t>акта</w:t>
      </w:r>
      <w:proofErr w:type="spellEnd"/>
      <w:r w:rsidR="00B836CC">
        <w:t>, який відповіда</w:t>
      </w:r>
      <w:r w:rsidR="0017308A">
        <w:t>є</w:t>
      </w:r>
      <w:r w:rsidR="00B836CC">
        <w:t xml:space="preserve"> вимогам нового законодавства України про оренду. </w:t>
      </w:r>
    </w:p>
    <w:p w14:paraId="33316498" w14:textId="589C98D3" w:rsidR="00B836CC" w:rsidRPr="000B030C" w:rsidRDefault="00AE1414" w:rsidP="00B836CC">
      <w:pPr>
        <w:ind w:left="-15" w:firstLine="724"/>
        <w:jc w:val="both"/>
        <w:rPr>
          <w:rFonts w:ascii="Times New Roman" w:eastAsia="Times New Roman" w:hAnsi="Times New Roman" w:cs="Times New Roman"/>
          <w:sz w:val="28"/>
          <w:szCs w:val="28"/>
        </w:rPr>
      </w:pPr>
      <w:r w:rsidRPr="00B836CC">
        <w:rPr>
          <w:rFonts w:ascii="Times New Roman" w:eastAsia="Times New Roman" w:hAnsi="Times New Roman" w:cs="Times New Roman"/>
          <w:sz w:val="28"/>
          <w:szCs w:val="28"/>
        </w:rPr>
        <w:t>Фондом комунального майна Сєвєродонецької міської військово-цивільної адміністрації Сєвєродонецького району Луганської області</w:t>
      </w:r>
      <w:r w:rsidR="006C2B2A" w:rsidRPr="00B836CC">
        <w:rPr>
          <w:rFonts w:ascii="Times New Roman" w:eastAsia="Times New Roman" w:hAnsi="Times New Roman" w:cs="Times New Roman"/>
          <w:sz w:val="28"/>
          <w:szCs w:val="28"/>
        </w:rPr>
        <w:t xml:space="preserve"> </w:t>
      </w:r>
      <w:r w:rsidRPr="00B836CC">
        <w:rPr>
          <w:rFonts w:ascii="Times New Roman" w:eastAsia="Times New Roman" w:hAnsi="Times New Roman" w:cs="Times New Roman"/>
          <w:sz w:val="28"/>
          <w:szCs w:val="28"/>
        </w:rPr>
        <w:t xml:space="preserve">(далі – Фонд) </w:t>
      </w:r>
      <w:r w:rsidR="00156B39">
        <w:rPr>
          <w:rFonts w:ascii="Times New Roman" w:eastAsia="Times New Roman" w:hAnsi="Times New Roman" w:cs="Times New Roman"/>
          <w:sz w:val="28"/>
          <w:szCs w:val="28"/>
        </w:rPr>
        <w:t>підготовлено</w:t>
      </w:r>
      <w:r w:rsidR="006C2B2A" w:rsidRPr="00B836CC">
        <w:rPr>
          <w:rFonts w:ascii="Times New Roman" w:eastAsia="Times New Roman" w:hAnsi="Times New Roman" w:cs="Times New Roman"/>
          <w:sz w:val="28"/>
          <w:szCs w:val="28"/>
        </w:rPr>
        <w:t xml:space="preserve"> п</w:t>
      </w:r>
      <w:r w:rsidR="00417E71" w:rsidRPr="00B836CC">
        <w:rPr>
          <w:rFonts w:ascii="Times New Roman" w:eastAsia="Times New Roman" w:hAnsi="Times New Roman" w:cs="Times New Roman"/>
          <w:sz w:val="28"/>
          <w:szCs w:val="28"/>
        </w:rPr>
        <w:t xml:space="preserve">роєкт </w:t>
      </w:r>
      <w:r w:rsidRPr="00B836CC">
        <w:rPr>
          <w:rFonts w:ascii="Times New Roman" w:eastAsia="Times New Roman" w:hAnsi="Times New Roman" w:cs="Times New Roman"/>
          <w:sz w:val="28"/>
          <w:szCs w:val="28"/>
        </w:rPr>
        <w:t xml:space="preserve">Методики розрахунку орендної </w:t>
      </w:r>
      <w:r w:rsidRPr="000B030C">
        <w:rPr>
          <w:rFonts w:ascii="Times New Roman" w:eastAsia="Times New Roman" w:hAnsi="Times New Roman" w:cs="Times New Roman"/>
          <w:sz w:val="28"/>
          <w:szCs w:val="28"/>
        </w:rPr>
        <w:t>плати за комунальне майно Сєвєродонецької міської територіальної громади</w:t>
      </w:r>
      <w:r w:rsidR="006C2B2A" w:rsidRPr="000B030C">
        <w:rPr>
          <w:rFonts w:ascii="Times New Roman" w:eastAsia="Times New Roman" w:hAnsi="Times New Roman" w:cs="Times New Roman"/>
          <w:sz w:val="28"/>
          <w:szCs w:val="28"/>
        </w:rPr>
        <w:t xml:space="preserve"> (далі - п</w:t>
      </w:r>
      <w:r w:rsidR="00417E71" w:rsidRPr="000B030C">
        <w:rPr>
          <w:rFonts w:ascii="Times New Roman" w:eastAsia="Times New Roman" w:hAnsi="Times New Roman" w:cs="Times New Roman"/>
          <w:sz w:val="28"/>
          <w:szCs w:val="28"/>
        </w:rPr>
        <w:t xml:space="preserve">роєкт </w:t>
      </w:r>
      <w:r w:rsidR="00156B39">
        <w:rPr>
          <w:rFonts w:ascii="Times New Roman" w:eastAsia="Times New Roman" w:hAnsi="Times New Roman" w:cs="Times New Roman"/>
          <w:sz w:val="28"/>
          <w:szCs w:val="28"/>
        </w:rPr>
        <w:t>Методики</w:t>
      </w:r>
      <w:r w:rsidR="006C2B2A" w:rsidRPr="000B030C">
        <w:rPr>
          <w:rFonts w:ascii="Times New Roman" w:eastAsia="Times New Roman" w:hAnsi="Times New Roman" w:cs="Times New Roman"/>
          <w:sz w:val="28"/>
          <w:szCs w:val="28"/>
        </w:rPr>
        <w:t>)</w:t>
      </w:r>
      <w:r w:rsidR="00B836CC" w:rsidRPr="000B030C">
        <w:rPr>
          <w:rFonts w:ascii="Times New Roman" w:eastAsia="Times New Roman" w:hAnsi="Times New Roman" w:cs="Times New Roman"/>
          <w:sz w:val="28"/>
          <w:szCs w:val="28"/>
        </w:rPr>
        <w:t xml:space="preserve">, яким визначатимуться: </w:t>
      </w:r>
    </w:p>
    <w:p w14:paraId="08ECF4B9" w14:textId="77777777" w:rsidR="00B836CC" w:rsidRPr="000B030C" w:rsidRDefault="00B836CC" w:rsidP="000B030C">
      <w:pPr>
        <w:widowControl/>
        <w:numPr>
          <w:ilvl w:val="0"/>
          <w:numId w:val="11"/>
        </w:numPr>
        <w:spacing w:after="15" w:line="266" w:lineRule="auto"/>
        <w:ind w:left="0" w:firstLine="567"/>
        <w:jc w:val="both"/>
        <w:rPr>
          <w:rFonts w:ascii="Times New Roman" w:eastAsia="Times New Roman" w:hAnsi="Times New Roman" w:cs="Times New Roman"/>
          <w:sz w:val="28"/>
          <w:szCs w:val="28"/>
        </w:rPr>
      </w:pPr>
      <w:r w:rsidRPr="000B030C">
        <w:rPr>
          <w:rFonts w:ascii="Times New Roman" w:eastAsia="Times New Roman" w:hAnsi="Times New Roman" w:cs="Times New Roman"/>
          <w:sz w:val="28"/>
          <w:szCs w:val="28"/>
        </w:rPr>
        <w:t xml:space="preserve">формули розрахунку місячної орендної плати; </w:t>
      </w:r>
    </w:p>
    <w:p w14:paraId="057522B5" w14:textId="6FE5A3BB" w:rsidR="00B836CC" w:rsidRPr="000B030C" w:rsidRDefault="00B836CC" w:rsidP="000B030C">
      <w:pPr>
        <w:widowControl/>
        <w:numPr>
          <w:ilvl w:val="0"/>
          <w:numId w:val="11"/>
        </w:numPr>
        <w:spacing w:after="15" w:line="266" w:lineRule="auto"/>
        <w:ind w:left="0" w:firstLine="567"/>
        <w:jc w:val="both"/>
        <w:rPr>
          <w:rFonts w:ascii="Times New Roman" w:eastAsia="Times New Roman" w:hAnsi="Times New Roman" w:cs="Times New Roman"/>
          <w:sz w:val="28"/>
          <w:szCs w:val="28"/>
        </w:rPr>
      </w:pPr>
      <w:r w:rsidRPr="000B030C">
        <w:rPr>
          <w:rFonts w:ascii="Times New Roman" w:eastAsia="Times New Roman" w:hAnsi="Times New Roman" w:cs="Times New Roman"/>
          <w:sz w:val="28"/>
          <w:szCs w:val="28"/>
        </w:rPr>
        <w:t xml:space="preserve">методологія розрахунку погодинної/добової орендної плати; </w:t>
      </w:r>
    </w:p>
    <w:p w14:paraId="79C12C24" w14:textId="77777777" w:rsidR="00B836CC" w:rsidRPr="000B030C" w:rsidRDefault="00B836CC" w:rsidP="000B030C">
      <w:pPr>
        <w:widowControl/>
        <w:numPr>
          <w:ilvl w:val="0"/>
          <w:numId w:val="11"/>
        </w:numPr>
        <w:spacing w:after="15" w:line="266" w:lineRule="auto"/>
        <w:ind w:left="0" w:firstLine="567"/>
        <w:jc w:val="both"/>
        <w:rPr>
          <w:rFonts w:ascii="Times New Roman" w:eastAsia="Times New Roman" w:hAnsi="Times New Roman" w:cs="Times New Roman"/>
          <w:sz w:val="28"/>
          <w:szCs w:val="28"/>
        </w:rPr>
      </w:pPr>
      <w:r w:rsidRPr="000B030C">
        <w:rPr>
          <w:rFonts w:ascii="Times New Roman" w:eastAsia="Times New Roman" w:hAnsi="Times New Roman" w:cs="Times New Roman"/>
          <w:sz w:val="28"/>
          <w:szCs w:val="28"/>
        </w:rPr>
        <w:t xml:space="preserve">форма розрахунку орендної плати; </w:t>
      </w:r>
    </w:p>
    <w:p w14:paraId="02C753FC" w14:textId="77777777" w:rsidR="00B836CC" w:rsidRPr="000B030C" w:rsidRDefault="00B836CC" w:rsidP="000B030C">
      <w:pPr>
        <w:widowControl/>
        <w:numPr>
          <w:ilvl w:val="0"/>
          <w:numId w:val="11"/>
        </w:numPr>
        <w:spacing w:after="15" w:line="266" w:lineRule="auto"/>
        <w:ind w:left="0" w:firstLine="567"/>
        <w:jc w:val="both"/>
        <w:rPr>
          <w:rFonts w:ascii="Times New Roman" w:eastAsia="Times New Roman" w:hAnsi="Times New Roman" w:cs="Times New Roman"/>
          <w:sz w:val="28"/>
          <w:szCs w:val="28"/>
        </w:rPr>
      </w:pPr>
      <w:r w:rsidRPr="000B030C">
        <w:rPr>
          <w:rFonts w:ascii="Times New Roman" w:eastAsia="Times New Roman" w:hAnsi="Times New Roman" w:cs="Times New Roman"/>
          <w:sz w:val="28"/>
          <w:szCs w:val="28"/>
        </w:rPr>
        <w:t xml:space="preserve">орендні ставки для орендарів, які мають право на отримання майна в оренду без аукціону; </w:t>
      </w:r>
    </w:p>
    <w:p w14:paraId="33ED9FD2" w14:textId="73DDE312" w:rsidR="00B836CC" w:rsidRPr="000B030C" w:rsidRDefault="00B836CC" w:rsidP="000B030C">
      <w:pPr>
        <w:widowControl/>
        <w:numPr>
          <w:ilvl w:val="0"/>
          <w:numId w:val="11"/>
        </w:numPr>
        <w:spacing w:after="15" w:line="266" w:lineRule="auto"/>
        <w:ind w:left="0" w:firstLine="567"/>
        <w:jc w:val="both"/>
        <w:rPr>
          <w:rFonts w:ascii="Times New Roman" w:eastAsia="Times New Roman" w:hAnsi="Times New Roman" w:cs="Times New Roman"/>
          <w:sz w:val="28"/>
          <w:szCs w:val="28"/>
        </w:rPr>
      </w:pPr>
      <w:r w:rsidRPr="000B030C">
        <w:rPr>
          <w:rFonts w:ascii="Times New Roman" w:eastAsia="Times New Roman" w:hAnsi="Times New Roman" w:cs="Times New Roman"/>
          <w:sz w:val="28"/>
          <w:szCs w:val="28"/>
        </w:rPr>
        <w:t xml:space="preserve">орендні ставки для орендарів, які мають право на продовження договору оренди відповідно до законодавства, яке було чинним до набрання чинності Законом. </w:t>
      </w:r>
    </w:p>
    <w:p w14:paraId="7D6DE708" w14:textId="77777777" w:rsidR="00394768" w:rsidRPr="00115027" w:rsidRDefault="00394768" w:rsidP="000E44A9">
      <w:pPr>
        <w:pStyle w:val="ac"/>
        <w:spacing w:after="5" w:line="268" w:lineRule="auto"/>
        <w:ind w:left="568"/>
        <w:rPr>
          <w:rFonts w:ascii="Times New Roman" w:hAnsi="Times New Roman" w:cs="Times New Roman"/>
          <w:bCs/>
          <w:sz w:val="28"/>
          <w:szCs w:val="28"/>
        </w:rPr>
      </w:pPr>
      <w:r w:rsidRPr="00115027">
        <w:rPr>
          <w:rFonts w:ascii="Times New Roman" w:hAnsi="Times New Roman" w:cs="Times New Roman"/>
          <w:bCs/>
          <w:sz w:val="28"/>
          <w:szCs w:val="28"/>
        </w:rPr>
        <w:t xml:space="preserve">Основні групи (підгрупи), на які проблема справляє вплив: </w:t>
      </w:r>
    </w:p>
    <w:p w14:paraId="7C451437" w14:textId="7E9EB9CA" w:rsidR="00394768" w:rsidRPr="00394768" w:rsidRDefault="00394768" w:rsidP="002B7D2A">
      <w:pPr>
        <w:pStyle w:val="ac"/>
        <w:spacing w:line="256" w:lineRule="auto"/>
        <w:ind w:left="568"/>
        <w:rPr>
          <w:rFonts w:ascii="Times New Roman" w:hAnsi="Times New Roman" w:cs="Times New Roman"/>
          <w:sz w:val="28"/>
          <w:szCs w:val="28"/>
        </w:rPr>
      </w:pPr>
    </w:p>
    <w:tbl>
      <w:tblPr>
        <w:tblStyle w:val="TableGrid"/>
        <w:tblW w:w="9767"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22" w:type="dxa"/>
          <w:right w:w="22" w:type="dxa"/>
        </w:tblCellMar>
        <w:tblLook w:val="04A0" w:firstRow="1" w:lastRow="0" w:firstColumn="1" w:lastColumn="0" w:noHBand="0" w:noVBand="1"/>
      </w:tblPr>
      <w:tblGrid>
        <w:gridCol w:w="4379"/>
        <w:gridCol w:w="2768"/>
        <w:gridCol w:w="2620"/>
      </w:tblGrid>
      <w:tr w:rsidR="00394768" w:rsidRPr="00394768" w14:paraId="5C02E071" w14:textId="77777777" w:rsidTr="003B67FA">
        <w:trPr>
          <w:trHeight w:val="413"/>
        </w:trPr>
        <w:tc>
          <w:tcPr>
            <w:tcW w:w="4379" w:type="dxa"/>
            <w:hideMark/>
          </w:tcPr>
          <w:p w14:paraId="01257AFE" w14:textId="77777777" w:rsidR="00394768" w:rsidRPr="00394768" w:rsidRDefault="00394768">
            <w:pPr>
              <w:spacing w:line="256" w:lineRule="auto"/>
              <w:ind w:right="3"/>
              <w:jc w:val="center"/>
              <w:rPr>
                <w:rFonts w:ascii="Times New Roman" w:hAnsi="Times New Roman" w:cs="Times New Roman"/>
                <w:sz w:val="28"/>
                <w:szCs w:val="28"/>
              </w:rPr>
            </w:pPr>
            <w:r w:rsidRPr="00394768">
              <w:rPr>
                <w:rFonts w:ascii="Times New Roman" w:hAnsi="Times New Roman" w:cs="Times New Roman"/>
                <w:b/>
                <w:sz w:val="28"/>
                <w:szCs w:val="28"/>
              </w:rPr>
              <w:t xml:space="preserve">Групи (підгрупи) </w:t>
            </w:r>
          </w:p>
        </w:tc>
        <w:tc>
          <w:tcPr>
            <w:tcW w:w="2768" w:type="dxa"/>
            <w:hideMark/>
          </w:tcPr>
          <w:p w14:paraId="15EC233D" w14:textId="77777777" w:rsidR="00394768" w:rsidRPr="00394768" w:rsidRDefault="00394768">
            <w:pPr>
              <w:spacing w:line="256" w:lineRule="auto"/>
              <w:ind w:left="4"/>
              <w:jc w:val="center"/>
              <w:rPr>
                <w:rFonts w:ascii="Times New Roman" w:hAnsi="Times New Roman" w:cs="Times New Roman"/>
                <w:sz w:val="28"/>
                <w:szCs w:val="28"/>
              </w:rPr>
            </w:pPr>
            <w:r w:rsidRPr="00394768">
              <w:rPr>
                <w:rFonts w:ascii="Times New Roman" w:hAnsi="Times New Roman" w:cs="Times New Roman"/>
                <w:b/>
                <w:sz w:val="28"/>
                <w:szCs w:val="28"/>
              </w:rPr>
              <w:t xml:space="preserve">Так </w:t>
            </w:r>
          </w:p>
        </w:tc>
        <w:tc>
          <w:tcPr>
            <w:tcW w:w="2620" w:type="dxa"/>
            <w:hideMark/>
          </w:tcPr>
          <w:p w14:paraId="1F10A126" w14:textId="77777777" w:rsidR="00394768" w:rsidRPr="00394768" w:rsidRDefault="00394768">
            <w:pPr>
              <w:spacing w:line="256" w:lineRule="auto"/>
              <w:ind w:left="1"/>
              <w:jc w:val="center"/>
              <w:rPr>
                <w:rFonts w:ascii="Times New Roman" w:hAnsi="Times New Roman" w:cs="Times New Roman"/>
                <w:sz w:val="28"/>
                <w:szCs w:val="28"/>
              </w:rPr>
            </w:pPr>
            <w:r w:rsidRPr="00394768">
              <w:rPr>
                <w:rFonts w:ascii="Times New Roman" w:hAnsi="Times New Roman" w:cs="Times New Roman"/>
                <w:b/>
                <w:sz w:val="28"/>
                <w:szCs w:val="28"/>
              </w:rPr>
              <w:t xml:space="preserve">Ні </w:t>
            </w:r>
          </w:p>
        </w:tc>
      </w:tr>
      <w:tr w:rsidR="00394768" w:rsidRPr="00394768" w14:paraId="338CCA1B" w14:textId="77777777" w:rsidTr="00394768">
        <w:trPr>
          <w:trHeight w:val="408"/>
        </w:trPr>
        <w:tc>
          <w:tcPr>
            <w:tcW w:w="4379" w:type="dxa"/>
            <w:hideMark/>
          </w:tcPr>
          <w:p w14:paraId="756948FE" w14:textId="37A2EE40" w:rsidR="00394768" w:rsidRPr="00394768" w:rsidRDefault="00394768" w:rsidP="00472424">
            <w:pPr>
              <w:tabs>
                <w:tab w:val="right" w:pos="4336"/>
              </w:tabs>
              <w:spacing w:line="256" w:lineRule="auto"/>
              <w:ind w:left="172"/>
              <w:rPr>
                <w:rFonts w:ascii="Times New Roman" w:hAnsi="Times New Roman" w:cs="Times New Roman"/>
                <w:sz w:val="28"/>
                <w:szCs w:val="28"/>
              </w:rPr>
            </w:pPr>
            <w:r w:rsidRPr="00394768">
              <w:rPr>
                <w:rFonts w:ascii="Times New Roman" w:hAnsi="Times New Roman" w:cs="Times New Roman"/>
                <w:sz w:val="28"/>
                <w:szCs w:val="28"/>
              </w:rPr>
              <w:t xml:space="preserve">Громадяни </w:t>
            </w:r>
            <w:r w:rsidRPr="00394768">
              <w:rPr>
                <w:rFonts w:ascii="Times New Roman" w:hAnsi="Times New Roman" w:cs="Times New Roman"/>
                <w:noProof/>
                <w:sz w:val="28"/>
                <w:szCs w:val="28"/>
              </w:rPr>
              <mc:AlternateContent>
                <mc:Choice Requires="wpg">
                  <w:drawing>
                    <wp:inline distT="0" distB="0" distL="0" distR="0" wp14:anchorId="0FB17B9F" wp14:editId="75C25A3C">
                      <wp:extent cx="8890" cy="213360"/>
                      <wp:effectExtent l="0" t="0" r="635" b="0"/>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13360"/>
                                <a:chOff x="0" y="0"/>
                                <a:chExt cx="9144" cy="213360"/>
                              </a:xfrm>
                            </wpg:grpSpPr>
                            <wps:wsp>
                              <wps:cNvPr id="8" name="Shape 26539"/>
                              <wps:cNvSpPr>
                                <a:spLocks/>
                              </wps:cNvSpPr>
                              <wps:spPr bwMode="auto">
                                <a:xfrm>
                                  <a:off x="0" y="0"/>
                                  <a:ext cx="9144" cy="213360"/>
                                </a:xfrm>
                                <a:custGeom>
                                  <a:avLst/>
                                  <a:gdLst>
                                    <a:gd name="T0" fmla="*/ 0 w 9144"/>
                                    <a:gd name="T1" fmla="*/ 0 h 213360"/>
                                    <a:gd name="T2" fmla="*/ 9144 w 9144"/>
                                    <a:gd name="T3" fmla="*/ 0 h 213360"/>
                                    <a:gd name="T4" fmla="*/ 9144 w 9144"/>
                                    <a:gd name="T5" fmla="*/ 213360 h 213360"/>
                                    <a:gd name="T6" fmla="*/ 0 w 9144"/>
                                    <a:gd name="T7" fmla="*/ 213360 h 213360"/>
                                    <a:gd name="T8" fmla="*/ 0 w 9144"/>
                                    <a:gd name="T9" fmla="*/ 0 h 213360"/>
                                    <a:gd name="T10" fmla="*/ 0 w 9144"/>
                                    <a:gd name="T11" fmla="*/ 0 h 213360"/>
                                    <a:gd name="T12" fmla="*/ 9144 w 9144"/>
                                    <a:gd name="T13" fmla="*/ 213360 h 213360"/>
                                  </a:gdLst>
                                  <a:ahLst/>
                                  <a:cxnLst>
                                    <a:cxn ang="0">
                                      <a:pos x="T0" y="T1"/>
                                    </a:cxn>
                                    <a:cxn ang="0">
                                      <a:pos x="T2" y="T3"/>
                                    </a:cxn>
                                    <a:cxn ang="0">
                                      <a:pos x="T4" y="T5"/>
                                    </a:cxn>
                                    <a:cxn ang="0">
                                      <a:pos x="T6" y="T7"/>
                                    </a:cxn>
                                    <a:cxn ang="0">
                                      <a:pos x="T8" y="T9"/>
                                    </a:cxn>
                                  </a:cxnLst>
                                  <a:rect l="T10" t="T11" r="T12" b="T13"/>
                                  <a:pathLst>
                                    <a:path w="9144" h="213360">
                                      <a:moveTo>
                                        <a:pt x="0" y="0"/>
                                      </a:moveTo>
                                      <a:lnTo>
                                        <a:pt x="9144" y="0"/>
                                      </a:lnTo>
                                      <a:lnTo>
                                        <a:pt x="9144" y="213360"/>
                                      </a:lnTo>
                                      <a:lnTo>
                                        <a:pt x="0" y="213360"/>
                                      </a:lnTo>
                                      <a:lnTo>
                                        <a:pt x="0" y="0"/>
                                      </a:lnTo>
                                    </a:path>
                                  </a:pathLst>
                                </a:custGeom>
                                <a:solidFill>
                                  <a:srgbClr val="F0F0F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36B4BE" id="Группа 7" o:spid="_x0000_s1026" style="width:.7pt;height:16.8pt;mso-position-horizontal-relative:char;mso-position-vertical-relative:line" coordsize="9144,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">
                      <v:shape id="Shape 26539" o:spid="_x0000_s1027" style="position:absolute;width:9144;height:213360;visibility:visible;mso-wrap-style:square;v-text-anchor:top" coordsize="9144,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" path="m,l9144,r,213360l,213360,,e" fillcolor="#f0f0f0" stroked="f" strokeweight="0">
                        <v:stroke miterlimit="83231f" joinstyle="miter"/>
                        <v:path arrowok="t" o:connecttype="custom" o:connectlocs="0,0;9144,0;9144,213360;0,213360;0,0" o:connectangles="0,0,0,0,0" textboxrect="0,0,9144,213360"/>
                      </v:shape>
                      <w10:anchorlock/>
                    </v:group>
                  </w:pict>
                </mc:Fallback>
              </mc:AlternateContent>
            </w:r>
          </w:p>
        </w:tc>
        <w:tc>
          <w:tcPr>
            <w:tcW w:w="2768" w:type="dxa"/>
            <w:hideMark/>
          </w:tcPr>
          <w:p w14:paraId="69F19A6E" w14:textId="35E99445" w:rsidR="00394768" w:rsidRPr="00394768" w:rsidRDefault="00156B39" w:rsidP="00394768">
            <w:pPr>
              <w:tabs>
                <w:tab w:val="center" w:pos="1400"/>
                <w:tab w:val="center" w:pos="2818"/>
                <w:tab w:val="center" w:pos="4093"/>
              </w:tabs>
              <w:spacing w:line="256" w:lineRule="auto"/>
              <w:jc w:val="center"/>
              <w:rPr>
                <w:rFonts w:ascii="Times New Roman" w:hAnsi="Times New Roman" w:cs="Times New Roman"/>
                <w:sz w:val="28"/>
                <w:szCs w:val="28"/>
              </w:rPr>
            </w:pPr>
            <w:r>
              <w:rPr>
                <w:rFonts w:ascii="Times New Roman" w:hAnsi="Times New Roman" w:cs="Times New Roman"/>
                <w:sz w:val="28"/>
                <w:szCs w:val="28"/>
              </w:rPr>
              <w:t>Так</w:t>
            </w:r>
          </w:p>
        </w:tc>
        <w:tc>
          <w:tcPr>
            <w:tcW w:w="2620" w:type="dxa"/>
          </w:tcPr>
          <w:p w14:paraId="63223D0B" w14:textId="5CE9EFF5" w:rsidR="00394768" w:rsidRPr="00394768" w:rsidRDefault="00394768" w:rsidP="00394768">
            <w:pPr>
              <w:tabs>
                <w:tab w:val="center" w:pos="1400"/>
                <w:tab w:val="center" w:pos="2818"/>
                <w:tab w:val="center" w:pos="4093"/>
              </w:tabs>
              <w:spacing w:line="256" w:lineRule="auto"/>
              <w:jc w:val="center"/>
              <w:rPr>
                <w:rFonts w:ascii="Times New Roman" w:hAnsi="Times New Roman" w:cs="Times New Roman"/>
                <w:sz w:val="28"/>
                <w:szCs w:val="28"/>
              </w:rPr>
            </w:pPr>
          </w:p>
        </w:tc>
      </w:tr>
      <w:tr w:rsidR="00394768" w:rsidRPr="00394768" w14:paraId="62CDC73E" w14:textId="77777777" w:rsidTr="003B67FA">
        <w:trPr>
          <w:trHeight w:val="410"/>
        </w:trPr>
        <w:tc>
          <w:tcPr>
            <w:tcW w:w="4379" w:type="dxa"/>
            <w:hideMark/>
          </w:tcPr>
          <w:p w14:paraId="3B3231FE" w14:textId="23110117" w:rsidR="00394768" w:rsidRPr="00394768" w:rsidRDefault="000E44A9" w:rsidP="00472424">
            <w:pPr>
              <w:spacing w:line="256" w:lineRule="auto"/>
              <w:ind w:left="172"/>
              <w:rPr>
                <w:rFonts w:ascii="Times New Roman" w:hAnsi="Times New Roman" w:cs="Times New Roman"/>
                <w:sz w:val="28"/>
                <w:szCs w:val="28"/>
              </w:rPr>
            </w:pPr>
            <w:r>
              <w:rPr>
                <w:rFonts w:ascii="Times New Roman" w:hAnsi="Times New Roman" w:cs="Times New Roman"/>
                <w:sz w:val="28"/>
                <w:szCs w:val="28"/>
              </w:rPr>
              <w:t>Сєвєродонецька міська громада</w:t>
            </w:r>
          </w:p>
        </w:tc>
        <w:tc>
          <w:tcPr>
            <w:tcW w:w="2768" w:type="dxa"/>
            <w:hideMark/>
          </w:tcPr>
          <w:p w14:paraId="0FB4C25B" w14:textId="77777777" w:rsidR="00394768" w:rsidRPr="00394768" w:rsidRDefault="00394768">
            <w:pPr>
              <w:spacing w:line="256" w:lineRule="auto"/>
              <w:ind w:left="2"/>
              <w:jc w:val="center"/>
              <w:rPr>
                <w:rFonts w:ascii="Times New Roman" w:hAnsi="Times New Roman" w:cs="Times New Roman"/>
                <w:sz w:val="28"/>
                <w:szCs w:val="28"/>
              </w:rPr>
            </w:pPr>
            <w:r w:rsidRPr="00394768">
              <w:rPr>
                <w:rFonts w:ascii="Times New Roman" w:hAnsi="Times New Roman" w:cs="Times New Roman"/>
                <w:sz w:val="28"/>
                <w:szCs w:val="28"/>
              </w:rPr>
              <w:t xml:space="preserve">Так </w:t>
            </w:r>
          </w:p>
        </w:tc>
        <w:tc>
          <w:tcPr>
            <w:tcW w:w="2620" w:type="dxa"/>
            <w:hideMark/>
          </w:tcPr>
          <w:p w14:paraId="2490D1CF" w14:textId="77777777" w:rsidR="00394768" w:rsidRPr="00394768" w:rsidRDefault="00394768">
            <w:pPr>
              <w:spacing w:line="256" w:lineRule="auto"/>
              <w:ind w:left="62"/>
              <w:jc w:val="center"/>
              <w:rPr>
                <w:rFonts w:ascii="Times New Roman" w:hAnsi="Times New Roman" w:cs="Times New Roman"/>
                <w:sz w:val="28"/>
                <w:szCs w:val="28"/>
              </w:rPr>
            </w:pPr>
            <w:r w:rsidRPr="00394768">
              <w:rPr>
                <w:rFonts w:ascii="Times New Roman" w:hAnsi="Times New Roman" w:cs="Times New Roman"/>
                <w:sz w:val="28"/>
                <w:szCs w:val="28"/>
              </w:rPr>
              <w:t xml:space="preserve"> </w:t>
            </w:r>
          </w:p>
        </w:tc>
      </w:tr>
      <w:tr w:rsidR="00394768" w:rsidRPr="00394768" w14:paraId="657A113F" w14:textId="77777777" w:rsidTr="003B67FA">
        <w:trPr>
          <w:trHeight w:val="400"/>
        </w:trPr>
        <w:tc>
          <w:tcPr>
            <w:tcW w:w="4379" w:type="dxa"/>
            <w:hideMark/>
          </w:tcPr>
          <w:p w14:paraId="0B617596" w14:textId="206F06A9" w:rsidR="00394768" w:rsidRPr="00394768" w:rsidRDefault="00394768" w:rsidP="00472424">
            <w:pPr>
              <w:spacing w:line="256" w:lineRule="auto"/>
              <w:ind w:left="172"/>
              <w:rPr>
                <w:rFonts w:ascii="Times New Roman" w:hAnsi="Times New Roman" w:cs="Times New Roman"/>
                <w:sz w:val="28"/>
                <w:szCs w:val="28"/>
              </w:rPr>
            </w:pPr>
            <w:r w:rsidRPr="00394768">
              <w:rPr>
                <w:rFonts w:ascii="Times New Roman" w:hAnsi="Times New Roman" w:cs="Times New Roman"/>
                <w:sz w:val="28"/>
                <w:szCs w:val="28"/>
              </w:rPr>
              <w:t>Суб'єкти господарювання</w:t>
            </w:r>
          </w:p>
        </w:tc>
        <w:tc>
          <w:tcPr>
            <w:tcW w:w="2768" w:type="dxa"/>
            <w:hideMark/>
          </w:tcPr>
          <w:p w14:paraId="34E8A9B9" w14:textId="77777777" w:rsidR="00394768" w:rsidRPr="00394768" w:rsidRDefault="00394768">
            <w:pPr>
              <w:spacing w:line="256" w:lineRule="auto"/>
              <w:ind w:left="2"/>
              <w:jc w:val="center"/>
              <w:rPr>
                <w:rFonts w:ascii="Times New Roman" w:hAnsi="Times New Roman" w:cs="Times New Roman"/>
                <w:sz w:val="28"/>
                <w:szCs w:val="28"/>
              </w:rPr>
            </w:pPr>
            <w:r w:rsidRPr="00394768">
              <w:rPr>
                <w:rFonts w:ascii="Times New Roman" w:hAnsi="Times New Roman" w:cs="Times New Roman"/>
                <w:sz w:val="28"/>
                <w:szCs w:val="28"/>
              </w:rPr>
              <w:t xml:space="preserve">Так </w:t>
            </w:r>
          </w:p>
        </w:tc>
        <w:tc>
          <w:tcPr>
            <w:tcW w:w="2620" w:type="dxa"/>
            <w:hideMark/>
          </w:tcPr>
          <w:p w14:paraId="5CC3FAD1" w14:textId="77777777" w:rsidR="00394768" w:rsidRPr="00394768" w:rsidRDefault="00394768">
            <w:pPr>
              <w:spacing w:line="256" w:lineRule="auto"/>
              <w:ind w:left="62"/>
              <w:jc w:val="center"/>
              <w:rPr>
                <w:rFonts w:ascii="Times New Roman" w:hAnsi="Times New Roman" w:cs="Times New Roman"/>
                <w:sz w:val="28"/>
                <w:szCs w:val="28"/>
              </w:rPr>
            </w:pPr>
            <w:r w:rsidRPr="00394768">
              <w:rPr>
                <w:rFonts w:ascii="Times New Roman" w:hAnsi="Times New Roman" w:cs="Times New Roman"/>
                <w:sz w:val="28"/>
                <w:szCs w:val="28"/>
              </w:rPr>
              <w:t xml:space="preserve"> </w:t>
            </w:r>
          </w:p>
        </w:tc>
      </w:tr>
    </w:tbl>
    <w:p w14:paraId="18F69365" w14:textId="77777777" w:rsidR="002B7D2A" w:rsidRDefault="002B7D2A" w:rsidP="003B67FA">
      <w:pPr>
        <w:ind w:firstLine="709"/>
        <w:jc w:val="both"/>
        <w:rPr>
          <w:rFonts w:ascii="Times New Roman" w:eastAsia="Times New Roman" w:hAnsi="Times New Roman" w:cs="Times New Roman"/>
          <w:sz w:val="28"/>
          <w:szCs w:val="28"/>
        </w:rPr>
      </w:pPr>
    </w:p>
    <w:p w14:paraId="64EB5B9C" w14:textId="1B5EA542" w:rsidR="003B67FA" w:rsidRPr="00115027" w:rsidRDefault="003B67FA" w:rsidP="003B67FA">
      <w:pPr>
        <w:ind w:firstLine="709"/>
        <w:jc w:val="both"/>
        <w:rPr>
          <w:rFonts w:ascii="Times New Roman" w:eastAsia="Times New Roman" w:hAnsi="Times New Roman" w:cs="Times New Roman"/>
          <w:sz w:val="28"/>
          <w:szCs w:val="28"/>
        </w:rPr>
      </w:pPr>
      <w:r w:rsidRPr="00115027">
        <w:rPr>
          <w:rFonts w:ascii="Times New Roman" w:eastAsia="Times New Roman" w:hAnsi="Times New Roman" w:cs="Times New Roman"/>
          <w:sz w:val="28"/>
          <w:szCs w:val="28"/>
        </w:rPr>
        <w:t xml:space="preserve">Обґрунтування неможливості вирішення проблеми за допомогою ринкових </w:t>
      </w:r>
      <w:r w:rsidRPr="00115027">
        <w:rPr>
          <w:rFonts w:ascii="Times New Roman" w:eastAsia="Times New Roman" w:hAnsi="Times New Roman" w:cs="Times New Roman"/>
          <w:sz w:val="28"/>
          <w:szCs w:val="28"/>
        </w:rPr>
        <w:lastRenderedPageBreak/>
        <w:t xml:space="preserve">механізмів: </w:t>
      </w:r>
    </w:p>
    <w:p w14:paraId="34265B7F" w14:textId="77777777" w:rsidR="003B67FA" w:rsidRPr="00115027" w:rsidRDefault="003B67FA" w:rsidP="003B67FA">
      <w:pPr>
        <w:ind w:firstLine="709"/>
        <w:jc w:val="both"/>
        <w:rPr>
          <w:rFonts w:ascii="Times New Roman" w:eastAsia="Times New Roman" w:hAnsi="Times New Roman" w:cs="Times New Roman"/>
          <w:sz w:val="28"/>
          <w:szCs w:val="28"/>
        </w:rPr>
      </w:pPr>
      <w:r w:rsidRPr="00115027">
        <w:rPr>
          <w:rFonts w:ascii="Times New Roman" w:eastAsia="Times New Roman" w:hAnsi="Times New Roman" w:cs="Times New Roman"/>
          <w:sz w:val="28"/>
          <w:szCs w:val="28"/>
        </w:rPr>
        <w:t xml:space="preserve">Застосування ринкових механізмів для вирішення вказаної проблеми не є можливим, оскільки відповідно до п.2 ст. 17 Закону у разі передачі майна в оренду без проведення аукціону орендна плата щодо комунального майна визначається представницькими органами місцевого самоврядування. </w:t>
      </w:r>
    </w:p>
    <w:p w14:paraId="3E90D939" w14:textId="77777777" w:rsidR="003B67FA" w:rsidRPr="00115027" w:rsidRDefault="003B67FA" w:rsidP="003B67FA">
      <w:pPr>
        <w:ind w:firstLine="709"/>
        <w:jc w:val="both"/>
        <w:rPr>
          <w:rFonts w:ascii="Times New Roman" w:eastAsia="Times New Roman" w:hAnsi="Times New Roman" w:cs="Times New Roman"/>
          <w:sz w:val="28"/>
          <w:szCs w:val="28"/>
        </w:rPr>
      </w:pPr>
      <w:r w:rsidRPr="00115027">
        <w:rPr>
          <w:rFonts w:ascii="Times New Roman" w:eastAsia="Times New Roman" w:hAnsi="Times New Roman" w:cs="Times New Roman"/>
          <w:sz w:val="28"/>
          <w:szCs w:val="28"/>
        </w:rPr>
        <w:t xml:space="preserve">Обґрунтування неможливості вирішення проблеми за допомогою діючих регуляторних актів: </w:t>
      </w:r>
    </w:p>
    <w:p w14:paraId="16DF33D3" w14:textId="5645D23F" w:rsidR="003B67FA" w:rsidRPr="003B67FA" w:rsidRDefault="003B67FA" w:rsidP="003B67FA">
      <w:pPr>
        <w:ind w:firstLine="709"/>
        <w:jc w:val="both"/>
        <w:rPr>
          <w:rFonts w:ascii="Times New Roman" w:eastAsia="Times New Roman" w:hAnsi="Times New Roman" w:cs="Times New Roman"/>
          <w:sz w:val="28"/>
          <w:szCs w:val="28"/>
        </w:rPr>
      </w:pPr>
      <w:r w:rsidRPr="003B67FA">
        <w:rPr>
          <w:rFonts w:ascii="Times New Roman" w:eastAsia="Times New Roman" w:hAnsi="Times New Roman" w:cs="Times New Roman"/>
          <w:sz w:val="28"/>
          <w:szCs w:val="28"/>
        </w:rPr>
        <w:t xml:space="preserve">Зазначена проблема не може бути вирішена за допомогою діючих регуляторних актів, в </w:t>
      </w:r>
      <w:proofErr w:type="spellStart"/>
      <w:r w:rsidRPr="003B67FA">
        <w:rPr>
          <w:rFonts w:ascii="Times New Roman" w:eastAsia="Times New Roman" w:hAnsi="Times New Roman" w:cs="Times New Roman"/>
          <w:sz w:val="28"/>
          <w:szCs w:val="28"/>
        </w:rPr>
        <w:t>т.ч</w:t>
      </w:r>
      <w:proofErr w:type="spellEnd"/>
      <w:r w:rsidRPr="003B67FA">
        <w:rPr>
          <w:rFonts w:ascii="Times New Roman" w:eastAsia="Times New Roman" w:hAnsi="Times New Roman" w:cs="Times New Roman"/>
          <w:sz w:val="28"/>
          <w:szCs w:val="28"/>
        </w:rPr>
        <w:t xml:space="preserve">. і діючої методики,  </w:t>
      </w:r>
      <w:r w:rsidR="00156B39">
        <w:rPr>
          <w:rFonts w:ascii="Times New Roman" w:eastAsia="Times New Roman" w:hAnsi="Times New Roman" w:cs="Times New Roman"/>
          <w:sz w:val="28"/>
          <w:szCs w:val="28"/>
        </w:rPr>
        <w:t>у</w:t>
      </w:r>
      <w:r w:rsidRPr="003B67FA">
        <w:rPr>
          <w:rFonts w:ascii="Times New Roman" w:eastAsia="Times New Roman" w:hAnsi="Times New Roman" w:cs="Times New Roman"/>
          <w:sz w:val="28"/>
          <w:szCs w:val="28"/>
        </w:rPr>
        <w:t xml:space="preserve"> зв’язку з їх невідповідністю  чинному законодавству з питань оренди державного та комунального майна, а також </w:t>
      </w:r>
      <w:r w:rsidR="000B030C">
        <w:rPr>
          <w:rFonts w:ascii="Times New Roman" w:hAnsi="Times New Roman" w:cs="Times New Roman"/>
          <w:sz w:val="28"/>
          <w:szCs w:val="28"/>
        </w:rPr>
        <w:t>не вирішує проблем місцевого рівня та не враховує специфіки діяльності  підприємств, установ, організацій міста.</w:t>
      </w:r>
      <w:r w:rsidRPr="003B67FA">
        <w:rPr>
          <w:rFonts w:ascii="Times New Roman" w:eastAsia="Times New Roman" w:hAnsi="Times New Roman" w:cs="Times New Roman"/>
          <w:sz w:val="28"/>
          <w:szCs w:val="28"/>
        </w:rPr>
        <w:t xml:space="preserve">  </w:t>
      </w:r>
    </w:p>
    <w:p w14:paraId="0BD3F036" w14:textId="08591FB6" w:rsidR="003B67FA" w:rsidRPr="003B67FA" w:rsidRDefault="003B67FA" w:rsidP="003B67FA">
      <w:pPr>
        <w:ind w:firstLine="709"/>
        <w:jc w:val="both"/>
        <w:rPr>
          <w:rFonts w:ascii="Times New Roman" w:eastAsia="Times New Roman" w:hAnsi="Times New Roman" w:cs="Times New Roman"/>
          <w:sz w:val="28"/>
          <w:szCs w:val="28"/>
        </w:rPr>
      </w:pPr>
      <w:r w:rsidRPr="003B67FA">
        <w:rPr>
          <w:rFonts w:ascii="Times New Roman" w:eastAsia="Times New Roman" w:hAnsi="Times New Roman" w:cs="Times New Roman"/>
          <w:sz w:val="28"/>
          <w:szCs w:val="28"/>
        </w:rPr>
        <w:t>Отже, для вирішення проблеми необхідно розробити відповідний нормативно-правовий акт</w:t>
      </w:r>
      <w:r w:rsidR="0017308A">
        <w:rPr>
          <w:rFonts w:ascii="Times New Roman" w:eastAsia="Times New Roman" w:hAnsi="Times New Roman" w:cs="Times New Roman"/>
          <w:sz w:val="28"/>
          <w:szCs w:val="28"/>
        </w:rPr>
        <w:t>.</w:t>
      </w:r>
      <w:r w:rsidRPr="003B67FA">
        <w:rPr>
          <w:rFonts w:ascii="Times New Roman" w:eastAsia="Times New Roman" w:hAnsi="Times New Roman" w:cs="Times New Roman"/>
          <w:sz w:val="28"/>
          <w:szCs w:val="28"/>
        </w:rPr>
        <w:t xml:space="preserve"> </w:t>
      </w:r>
    </w:p>
    <w:p w14:paraId="35AC2C9A" w14:textId="3E191AC0" w:rsidR="00605C72" w:rsidRDefault="00605C72">
      <w:pPr>
        <w:pStyle w:val="11"/>
        <w:ind w:firstLine="740"/>
        <w:jc w:val="both"/>
      </w:pPr>
    </w:p>
    <w:p w14:paraId="53097C7F" w14:textId="24F7AF6A" w:rsidR="00B836CC" w:rsidRDefault="00B836CC" w:rsidP="00B836CC">
      <w:pPr>
        <w:pStyle w:val="1"/>
        <w:ind w:left="19" w:right="16"/>
      </w:pPr>
      <w:r>
        <w:t xml:space="preserve">II. Цілі регулювання </w:t>
      </w:r>
    </w:p>
    <w:p w14:paraId="4F127A9D" w14:textId="5ED81693" w:rsidR="00B836CC" w:rsidRDefault="00B836CC" w:rsidP="00A31937">
      <w:pPr>
        <w:spacing w:after="94" w:line="256" w:lineRule="auto"/>
        <w:ind w:firstLine="709"/>
        <w:jc w:val="both"/>
        <w:rPr>
          <w:rFonts w:ascii="Times New Roman" w:hAnsi="Times New Roman" w:cs="Times New Roman"/>
          <w:sz w:val="28"/>
          <w:szCs w:val="28"/>
        </w:rPr>
      </w:pPr>
      <w:r w:rsidRPr="00B836CC">
        <w:rPr>
          <w:rFonts w:ascii="Times New Roman" w:hAnsi="Times New Roman" w:cs="Times New Roman"/>
          <w:sz w:val="28"/>
          <w:szCs w:val="28"/>
        </w:rPr>
        <w:t xml:space="preserve">Цілями регулювання є забезпечення виконання </w:t>
      </w:r>
      <w:r w:rsidR="0017308A">
        <w:rPr>
          <w:rFonts w:ascii="Times New Roman" w:hAnsi="Times New Roman" w:cs="Times New Roman"/>
          <w:sz w:val="28"/>
          <w:szCs w:val="28"/>
        </w:rPr>
        <w:t>норм</w:t>
      </w:r>
      <w:r w:rsidRPr="00B836CC">
        <w:rPr>
          <w:rFonts w:ascii="Times New Roman" w:hAnsi="Times New Roman" w:cs="Times New Roman"/>
          <w:sz w:val="28"/>
          <w:szCs w:val="28"/>
        </w:rPr>
        <w:t xml:space="preserve"> Закону України від 03</w:t>
      </w:r>
      <w:r w:rsidR="00156B39">
        <w:rPr>
          <w:rFonts w:ascii="Times New Roman" w:hAnsi="Times New Roman" w:cs="Times New Roman"/>
          <w:sz w:val="28"/>
          <w:szCs w:val="28"/>
        </w:rPr>
        <w:t> </w:t>
      </w:r>
      <w:r w:rsidRPr="00B836CC">
        <w:rPr>
          <w:rFonts w:ascii="Times New Roman" w:hAnsi="Times New Roman" w:cs="Times New Roman"/>
          <w:sz w:val="28"/>
          <w:szCs w:val="28"/>
        </w:rPr>
        <w:t xml:space="preserve">жовтня 2019 року № 157-ІХ «Про оренду державного та комунального майна», </w:t>
      </w:r>
      <w:r>
        <w:rPr>
          <w:rFonts w:ascii="Times New Roman" w:hAnsi="Times New Roman" w:cs="Times New Roman"/>
          <w:sz w:val="28"/>
          <w:szCs w:val="28"/>
        </w:rPr>
        <w:t xml:space="preserve">зокрема </w:t>
      </w:r>
    </w:p>
    <w:p w14:paraId="130BC0DC" w14:textId="71620FEA" w:rsidR="00B836CC" w:rsidRPr="003251B9" w:rsidRDefault="00B836CC" w:rsidP="003251B9">
      <w:pPr>
        <w:pStyle w:val="ac"/>
        <w:numPr>
          <w:ilvl w:val="0"/>
          <w:numId w:val="11"/>
        </w:numPr>
        <w:ind w:left="0" w:firstLine="284"/>
        <w:jc w:val="both"/>
        <w:rPr>
          <w:rFonts w:ascii="Times New Roman" w:hAnsi="Times New Roman" w:cs="Times New Roman"/>
          <w:sz w:val="28"/>
          <w:szCs w:val="28"/>
        </w:rPr>
      </w:pPr>
      <w:r w:rsidRPr="003251B9">
        <w:rPr>
          <w:rFonts w:ascii="Times New Roman" w:hAnsi="Times New Roman" w:cs="Times New Roman"/>
          <w:sz w:val="28"/>
          <w:szCs w:val="28"/>
        </w:rPr>
        <w:t>створення єдиних правил для учасників орендних відносин (орендаря та орендодавця)</w:t>
      </w:r>
      <w:r w:rsidR="003251B9" w:rsidRPr="003251B9">
        <w:rPr>
          <w:rFonts w:ascii="Times New Roman" w:hAnsi="Times New Roman" w:cs="Times New Roman"/>
          <w:sz w:val="28"/>
          <w:szCs w:val="28"/>
        </w:rPr>
        <w:t>;</w:t>
      </w:r>
      <w:r w:rsidRPr="003251B9">
        <w:rPr>
          <w:rFonts w:ascii="Times New Roman" w:hAnsi="Times New Roman" w:cs="Times New Roman"/>
          <w:sz w:val="28"/>
          <w:szCs w:val="28"/>
        </w:rPr>
        <w:t xml:space="preserve"> </w:t>
      </w:r>
    </w:p>
    <w:p w14:paraId="565308FC" w14:textId="77777777" w:rsidR="003251B9" w:rsidRPr="003251B9" w:rsidRDefault="003251B9" w:rsidP="003251B9">
      <w:pPr>
        <w:widowControl/>
        <w:numPr>
          <w:ilvl w:val="0"/>
          <w:numId w:val="11"/>
        </w:numPr>
        <w:tabs>
          <w:tab w:val="left" w:pos="709"/>
        </w:tabs>
        <w:spacing w:line="247" w:lineRule="auto"/>
        <w:ind w:left="0" w:firstLine="284"/>
        <w:jc w:val="both"/>
        <w:rPr>
          <w:rFonts w:ascii="Times New Roman" w:hAnsi="Times New Roman" w:cs="Times New Roman"/>
          <w:sz w:val="28"/>
          <w:szCs w:val="28"/>
        </w:rPr>
      </w:pPr>
      <w:r w:rsidRPr="003251B9">
        <w:rPr>
          <w:rFonts w:ascii="Times New Roman" w:hAnsi="Times New Roman" w:cs="Times New Roman"/>
          <w:sz w:val="28"/>
          <w:szCs w:val="28"/>
        </w:rPr>
        <w:t xml:space="preserve">встановлення доцільних та обґрунтованих орендних ставок із урахуванням місцевих особливостей у сфері оренди комунального майна; </w:t>
      </w:r>
    </w:p>
    <w:p w14:paraId="4A8C962B" w14:textId="77777777" w:rsidR="003251B9" w:rsidRPr="003251B9" w:rsidRDefault="003251B9" w:rsidP="003251B9">
      <w:pPr>
        <w:widowControl/>
        <w:numPr>
          <w:ilvl w:val="0"/>
          <w:numId w:val="11"/>
        </w:numPr>
        <w:spacing w:line="247" w:lineRule="auto"/>
        <w:ind w:left="0" w:firstLine="284"/>
        <w:jc w:val="both"/>
        <w:rPr>
          <w:rFonts w:ascii="Times New Roman" w:hAnsi="Times New Roman" w:cs="Times New Roman"/>
          <w:sz w:val="28"/>
          <w:szCs w:val="28"/>
        </w:rPr>
      </w:pPr>
      <w:r w:rsidRPr="003251B9">
        <w:rPr>
          <w:rFonts w:ascii="Times New Roman" w:hAnsi="Times New Roman" w:cs="Times New Roman"/>
          <w:sz w:val="28"/>
          <w:szCs w:val="28"/>
        </w:rPr>
        <w:t xml:space="preserve">забезпечення надходження коштів до місцевого бюджету від оренди комунального майна. </w:t>
      </w:r>
    </w:p>
    <w:p w14:paraId="698731D7" w14:textId="78A3369E" w:rsidR="00B836CC" w:rsidRPr="00B836CC" w:rsidRDefault="00B836CC" w:rsidP="003251B9">
      <w:pPr>
        <w:pStyle w:val="ac"/>
        <w:ind w:left="1080"/>
        <w:jc w:val="both"/>
        <w:rPr>
          <w:rFonts w:ascii="Times New Roman" w:hAnsi="Times New Roman" w:cs="Times New Roman"/>
          <w:sz w:val="28"/>
          <w:szCs w:val="28"/>
        </w:rPr>
      </w:pPr>
    </w:p>
    <w:p w14:paraId="2BC7F0A3" w14:textId="77777777" w:rsidR="00BA05CE" w:rsidRDefault="00BA05CE" w:rsidP="00BA05CE">
      <w:pPr>
        <w:pStyle w:val="1"/>
        <w:ind w:left="19" w:right="17"/>
      </w:pPr>
      <w:r>
        <w:t xml:space="preserve">III. Визначення та оцінка альтернативних способів досягнення цілей </w:t>
      </w:r>
    </w:p>
    <w:p w14:paraId="20227E9B" w14:textId="6557D124" w:rsidR="00BA05CE" w:rsidRDefault="00BA05CE" w:rsidP="00472424">
      <w:pPr>
        <w:widowControl/>
        <w:numPr>
          <w:ilvl w:val="0"/>
          <w:numId w:val="13"/>
        </w:numPr>
        <w:tabs>
          <w:tab w:val="left" w:pos="1134"/>
        </w:tabs>
        <w:spacing w:after="15" w:line="266" w:lineRule="auto"/>
        <w:ind w:left="0" w:firstLine="710"/>
        <w:jc w:val="both"/>
      </w:pPr>
      <w:r w:rsidRPr="00BA05CE">
        <w:rPr>
          <w:rFonts w:ascii="Times New Roman" w:hAnsi="Times New Roman" w:cs="Times New Roman"/>
          <w:sz w:val="28"/>
          <w:szCs w:val="28"/>
        </w:rPr>
        <w:t>Альтернативи визначено з огляду на вимоги Закону України від 03</w:t>
      </w:r>
      <w:r w:rsidR="00472424">
        <w:rPr>
          <w:rFonts w:ascii="Times New Roman" w:hAnsi="Times New Roman" w:cs="Times New Roman"/>
          <w:sz w:val="28"/>
          <w:szCs w:val="28"/>
        </w:rPr>
        <w:t> </w:t>
      </w:r>
      <w:r w:rsidRPr="00BA05CE">
        <w:rPr>
          <w:rFonts w:ascii="Times New Roman" w:hAnsi="Times New Roman" w:cs="Times New Roman"/>
          <w:sz w:val="28"/>
          <w:szCs w:val="28"/>
        </w:rPr>
        <w:t xml:space="preserve">жовтня 2019 року № 157-ІХ «Про оренду державного та комунального майна» </w:t>
      </w:r>
    </w:p>
    <w:tbl>
      <w:tblPr>
        <w:tblStyle w:val="TableGrid"/>
        <w:tblW w:w="9760" w:type="dxa"/>
        <w:tblInd w:w="-60" w:type="dxa"/>
        <w:tblCellMar>
          <w:top w:w="118" w:type="dxa"/>
          <w:left w:w="60" w:type="dxa"/>
        </w:tblCellMar>
        <w:tblLook w:val="04A0" w:firstRow="1" w:lastRow="0" w:firstColumn="1" w:lastColumn="0" w:noHBand="0" w:noVBand="1"/>
      </w:tblPr>
      <w:tblGrid>
        <w:gridCol w:w="4131"/>
        <w:gridCol w:w="5629"/>
      </w:tblGrid>
      <w:tr w:rsidR="00BA05CE" w14:paraId="29ABA652" w14:textId="77777777" w:rsidTr="00BA05CE">
        <w:trPr>
          <w:trHeight w:val="401"/>
        </w:trPr>
        <w:tc>
          <w:tcPr>
            <w:tcW w:w="4131" w:type="dxa"/>
            <w:tcBorders>
              <w:top w:val="double" w:sz="4" w:space="0" w:color="000000"/>
              <w:left w:val="double" w:sz="4" w:space="0" w:color="000000"/>
              <w:bottom w:val="double" w:sz="4" w:space="0" w:color="000000"/>
              <w:right w:val="double" w:sz="4" w:space="0" w:color="000000"/>
            </w:tcBorders>
            <w:hideMark/>
          </w:tcPr>
          <w:p w14:paraId="665FB6C8" w14:textId="77777777" w:rsidR="00BA05CE" w:rsidRPr="00BA05CE" w:rsidRDefault="00BA05CE">
            <w:pPr>
              <w:spacing w:line="256" w:lineRule="auto"/>
              <w:ind w:right="63"/>
              <w:jc w:val="center"/>
              <w:rPr>
                <w:rFonts w:ascii="Times New Roman" w:hAnsi="Times New Roman" w:cs="Times New Roman"/>
                <w:sz w:val="28"/>
                <w:szCs w:val="28"/>
              </w:rPr>
            </w:pPr>
            <w:r w:rsidRPr="00BA05CE">
              <w:rPr>
                <w:rFonts w:ascii="Times New Roman" w:hAnsi="Times New Roman" w:cs="Times New Roman"/>
                <w:b/>
                <w:sz w:val="28"/>
                <w:szCs w:val="28"/>
              </w:rPr>
              <w:t xml:space="preserve">Вид альтернативи </w:t>
            </w:r>
          </w:p>
        </w:tc>
        <w:tc>
          <w:tcPr>
            <w:tcW w:w="5629" w:type="dxa"/>
            <w:tcBorders>
              <w:top w:val="double" w:sz="4" w:space="0" w:color="000000"/>
              <w:left w:val="double" w:sz="4" w:space="0" w:color="000000"/>
              <w:bottom w:val="double" w:sz="4" w:space="0" w:color="000000"/>
              <w:right w:val="double" w:sz="4" w:space="0" w:color="000000"/>
            </w:tcBorders>
            <w:hideMark/>
          </w:tcPr>
          <w:p w14:paraId="00F3F286" w14:textId="77777777" w:rsidR="00BA05CE" w:rsidRPr="00BA05CE" w:rsidRDefault="00BA05CE">
            <w:pPr>
              <w:spacing w:line="256" w:lineRule="auto"/>
              <w:ind w:right="60"/>
              <w:jc w:val="center"/>
              <w:rPr>
                <w:rFonts w:ascii="Times New Roman" w:hAnsi="Times New Roman" w:cs="Times New Roman"/>
                <w:sz w:val="28"/>
                <w:szCs w:val="28"/>
              </w:rPr>
            </w:pPr>
            <w:r w:rsidRPr="00BA05CE">
              <w:rPr>
                <w:rFonts w:ascii="Times New Roman" w:hAnsi="Times New Roman" w:cs="Times New Roman"/>
                <w:b/>
                <w:sz w:val="28"/>
                <w:szCs w:val="28"/>
              </w:rPr>
              <w:t xml:space="preserve">Опис альтернативи </w:t>
            </w:r>
          </w:p>
        </w:tc>
      </w:tr>
      <w:tr w:rsidR="00BA05CE" w14:paraId="5B23DB5A" w14:textId="77777777" w:rsidTr="00472424">
        <w:trPr>
          <w:trHeight w:val="701"/>
        </w:trPr>
        <w:tc>
          <w:tcPr>
            <w:tcW w:w="4131" w:type="dxa"/>
            <w:tcBorders>
              <w:top w:val="double" w:sz="4" w:space="0" w:color="000000"/>
              <w:left w:val="double" w:sz="4" w:space="0" w:color="000000"/>
              <w:bottom w:val="double" w:sz="4" w:space="0" w:color="000000"/>
              <w:right w:val="double" w:sz="4" w:space="0" w:color="000000"/>
            </w:tcBorders>
            <w:hideMark/>
          </w:tcPr>
          <w:p w14:paraId="46F5A6C2" w14:textId="77777777" w:rsidR="000E44A9" w:rsidRDefault="00BA05CE">
            <w:pPr>
              <w:spacing w:line="256" w:lineRule="auto"/>
              <w:rPr>
                <w:rFonts w:ascii="Times New Roman" w:hAnsi="Times New Roman" w:cs="Times New Roman"/>
                <w:sz w:val="28"/>
                <w:szCs w:val="28"/>
              </w:rPr>
            </w:pPr>
            <w:r w:rsidRPr="00BA05CE">
              <w:rPr>
                <w:rFonts w:ascii="Times New Roman" w:hAnsi="Times New Roman" w:cs="Times New Roman"/>
                <w:sz w:val="28"/>
                <w:szCs w:val="28"/>
              </w:rPr>
              <w:t xml:space="preserve">Альтернатива 1 </w:t>
            </w:r>
          </w:p>
          <w:p w14:paraId="39184EA3" w14:textId="31CC61A2" w:rsidR="00BA05CE" w:rsidRPr="00BA05CE" w:rsidRDefault="000E44A9">
            <w:pPr>
              <w:spacing w:line="256" w:lineRule="auto"/>
              <w:rPr>
                <w:rFonts w:ascii="Times New Roman" w:hAnsi="Times New Roman" w:cs="Times New Roman"/>
                <w:sz w:val="28"/>
                <w:szCs w:val="28"/>
              </w:rPr>
            </w:pPr>
            <w:r>
              <w:rPr>
                <w:rFonts w:ascii="Times New Roman" w:eastAsia="Times New Roman" w:hAnsi="Times New Roman" w:cs="Times New Roman"/>
                <w:sz w:val="28"/>
                <w:szCs w:val="28"/>
              </w:rPr>
              <w:t>Застосування Методики розрахунку та порядку використання плати за оренду майна, що є власністю територіальної громади м. Сєвєродонецька Луганської області», яка затверджена рішенням Сєвєродонецької міської ради від 22.12.2017 №</w:t>
            </w:r>
            <w:r w:rsidR="00156B39">
              <w:rPr>
                <w:rFonts w:ascii="Times New Roman" w:eastAsia="Times New Roman" w:hAnsi="Times New Roman" w:cs="Times New Roman"/>
                <w:sz w:val="28"/>
                <w:szCs w:val="28"/>
              </w:rPr>
              <w:t>2113</w:t>
            </w:r>
            <w:r w:rsidR="00BA05CE" w:rsidRPr="00BA05CE">
              <w:rPr>
                <w:rFonts w:ascii="Times New Roman" w:hAnsi="Times New Roman" w:cs="Times New Roman"/>
                <w:sz w:val="28"/>
                <w:szCs w:val="28"/>
              </w:rPr>
              <w:t xml:space="preserve"> </w:t>
            </w:r>
          </w:p>
        </w:tc>
        <w:tc>
          <w:tcPr>
            <w:tcW w:w="5629" w:type="dxa"/>
            <w:tcBorders>
              <w:top w:val="double" w:sz="4" w:space="0" w:color="000000"/>
              <w:left w:val="double" w:sz="4" w:space="0" w:color="000000"/>
              <w:bottom w:val="double" w:sz="4" w:space="0" w:color="000000"/>
              <w:right w:val="double" w:sz="4" w:space="0" w:color="000000"/>
            </w:tcBorders>
            <w:hideMark/>
          </w:tcPr>
          <w:p w14:paraId="748DA70E" w14:textId="3296E376" w:rsidR="00BA05CE" w:rsidRPr="00BA05CE" w:rsidRDefault="00BA05CE">
            <w:pPr>
              <w:spacing w:after="278"/>
              <w:ind w:left="2" w:right="57"/>
              <w:rPr>
                <w:rFonts w:ascii="Times New Roman" w:hAnsi="Times New Roman" w:cs="Times New Roman"/>
                <w:sz w:val="28"/>
                <w:szCs w:val="28"/>
              </w:rPr>
            </w:pPr>
            <w:r w:rsidRPr="00BA05CE">
              <w:rPr>
                <w:rFonts w:ascii="Times New Roman" w:hAnsi="Times New Roman" w:cs="Times New Roman"/>
                <w:sz w:val="28"/>
                <w:szCs w:val="28"/>
              </w:rPr>
              <w:t xml:space="preserve">Залишити чинний регуляторний акт </w:t>
            </w:r>
            <w:r w:rsidRPr="003B0E9E">
              <w:rPr>
                <w:rFonts w:ascii="Times New Roman" w:eastAsia="Times New Roman" w:hAnsi="Times New Roman" w:cs="Times New Roman"/>
                <w:sz w:val="28"/>
                <w:szCs w:val="28"/>
              </w:rPr>
              <w:t>Методика розрахунку та порядку використання плати за оренду майна, що є власністю територіальної громади м.</w:t>
            </w:r>
            <w:r>
              <w:rPr>
                <w:rFonts w:ascii="Times New Roman" w:eastAsia="Times New Roman" w:hAnsi="Times New Roman" w:cs="Times New Roman"/>
                <w:sz w:val="28"/>
                <w:szCs w:val="28"/>
              </w:rPr>
              <w:t xml:space="preserve"> </w:t>
            </w:r>
            <w:r w:rsidRPr="003B0E9E">
              <w:rPr>
                <w:rFonts w:ascii="Times New Roman" w:eastAsia="Times New Roman" w:hAnsi="Times New Roman" w:cs="Times New Roman"/>
                <w:sz w:val="28"/>
                <w:szCs w:val="28"/>
              </w:rPr>
              <w:t xml:space="preserve">Сєвєродонецька Луганської області», </w:t>
            </w:r>
            <w:r>
              <w:rPr>
                <w:rFonts w:ascii="Times New Roman" w:eastAsia="Times New Roman" w:hAnsi="Times New Roman" w:cs="Times New Roman"/>
                <w:sz w:val="28"/>
                <w:szCs w:val="28"/>
              </w:rPr>
              <w:t>яка</w:t>
            </w:r>
            <w:r w:rsidRPr="003B0E9E">
              <w:rPr>
                <w:rFonts w:ascii="Times New Roman" w:eastAsia="Times New Roman" w:hAnsi="Times New Roman" w:cs="Times New Roman"/>
                <w:sz w:val="28"/>
                <w:szCs w:val="28"/>
              </w:rPr>
              <w:t xml:space="preserve"> затверджен</w:t>
            </w:r>
            <w:r>
              <w:rPr>
                <w:rFonts w:ascii="Times New Roman" w:eastAsia="Times New Roman" w:hAnsi="Times New Roman" w:cs="Times New Roman"/>
                <w:sz w:val="28"/>
                <w:szCs w:val="28"/>
              </w:rPr>
              <w:t xml:space="preserve">а </w:t>
            </w:r>
            <w:r w:rsidRPr="003B0E9E">
              <w:rPr>
                <w:rFonts w:ascii="Times New Roman" w:eastAsia="Times New Roman" w:hAnsi="Times New Roman" w:cs="Times New Roman"/>
                <w:sz w:val="28"/>
                <w:szCs w:val="28"/>
              </w:rPr>
              <w:t>рішенням Сєвєродонецької міської ради від 22.12.2017 №</w:t>
            </w:r>
            <w:r w:rsidR="00156B39">
              <w:rPr>
                <w:rFonts w:ascii="Times New Roman" w:eastAsia="Times New Roman" w:hAnsi="Times New Roman" w:cs="Times New Roman"/>
                <w:sz w:val="28"/>
                <w:szCs w:val="28"/>
              </w:rPr>
              <w:t>2113</w:t>
            </w:r>
          </w:p>
          <w:p w14:paraId="505C93C9" w14:textId="77777777" w:rsidR="000E44A9" w:rsidRDefault="00BA05CE">
            <w:pPr>
              <w:spacing w:line="256" w:lineRule="auto"/>
              <w:ind w:left="2" w:right="61"/>
              <w:rPr>
                <w:rFonts w:ascii="Times New Roman" w:hAnsi="Times New Roman" w:cs="Times New Roman"/>
                <w:sz w:val="28"/>
                <w:szCs w:val="28"/>
              </w:rPr>
            </w:pPr>
            <w:r w:rsidRPr="00BA05CE">
              <w:rPr>
                <w:rFonts w:ascii="Times New Roman" w:hAnsi="Times New Roman" w:cs="Times New Roman"/>
                <w:sz w:val="28"/>
                <w:szCs w:val="28"/>
              </w:rPr>
              <w:t xml:space="preserve">Невідповідність вимогам Закону України від 03 жовтня 2019 року № 157-ІХ «Про оренду державного і комунального майна». </w:t>
            </w:r>
          </w:p>
          <w:p w14:paraId="786BB11E" w14:textId="77777777" w:rsidR="000E44A9" w:rsidRDefault="000E44A9">
            <w:pPr>
              <w:spacing w:line="256" w:lineRule="auto"/>
              <w:ind w:left="2" w:right="61"/>
              <w:rPr>
                <w:rFonts w:ascii="Times New Roman" w:hAnsi="Times New Roman" w:cs="Times New Roman"/>
                <w:sz w:val="28"/>
                <w:szCs w:val="28"/>
              </w:rPr>
            </w:pPr>
          </w:p>
          <w:p w14:paraId="794EB287" w14:textId="0A9E5D3D" w:rsidR="00BA05CE" w:rsidRPr="00BA05CE" w:rsidRDefault="00BA05CE">
            <w:pPr>
              <w:spacing w:line="256" w:lineRule="auto"/>
              <w:ind w:left="2" w:right="61"/>
              <w:rPr>
                <w:rFonts w:ascii="Times New Roman" w:hAnsi="Times New Roman" w:cs="Times New Roman"/>
                <w:sz w:val="28"/>
                <w:szCs w:val="28"/>
              </w:rPr>
            </w:pPr>
            <w:r w:rsidRPr="00BA05CE">
              <w:rPr>
                <w:rFonts w:ascii="Times New Roman" w:hAnsi="Times New Roman" w:cs="Times New Roman"/>
                <w:sz w:val="28"/>
                <w:szCs w:val="28"/>
              </w:rPr>
              <w:lastRenderedPageBreak/>
              <w:t xml:space="preserve">Альтернатива є недоцільною. </w:t>
            </w:r>
          </w:p>
        </w:tc>
      </w:tr>
      <w:tr w:rsidR="00BA05CE" w14:paraId="5FB651AE" w14:textId="77777777" w:rsidTr="009C3ACD">
        <w:trPr>
          <w:trHeight w:val="2543"/>
        </w:trPr>
        <w:tc>
          <w:tcPr>
            <w:tcW w:w="4131" w:type="dxa"/>
            <w:tcBorders>
              <w:top w:val="double" w:sz="4" w:space="0" w:color="000000"/>
              <w:left w:val="double" w:sz="4" w:space="0" w:color="000000"/>
              <w:bottom w:val="double" w:sz="4" w:space="0" w:color="000000"/>
              <w:right w:val="double" w:sz="4" w:space="0" w:color="000000"/>
            </w:tcBorders>
          </w:tcPr>
          <w:p w14:paraId="6D4B6B76" w14:textId="77777777" w:rsidR="00BA05CE" w:rsidRPr="00394768" w:rsidRDefault="00BA05CE" w:rsidP="00BA05CE">
            <w:pPr>
              <w:spacing w:line="256" w:lineRule="auto"/>
              <w:rPr>
                <w:rFonts w:ascii="Times New Roman" w:hAnsi="Times New Roman" w:cs="Times New Roman"/>
                <w:sz w:val="28"/>
                <w:szCs w:val="28"/>
              </w:rPr>
            </w:pPr>
            <w:r w:rsidRPr="00394768">
              <w:rPr>
                <w:rFonts w:ascii="Times New Roman" w:hAnsi="Times New Roman" w:cs="Times New Roman"/>
                <w:sz w:val="28"/>
                <w:szCs w:val="28"/>
              </w:rPr>
              <w:lastRenderedPageBreak/>
              <w:t xml:space="preserve">Альтернатива 2  </w:t>
            </w:r>
          </w:p>
          <w:p w14:paraId="29F321DE" w14:textId="5E9DD47C" w:rsidR="00BA05CE" w:rsidRPr="00BA05CE" w:rsidRDefault="00BA05CE" w:rsidP="009C3ACD">
            <w:pPr>
              <w:spacing w:line="237" w:lineRule="auto"/>
              <w:ind w:right="85"/>
              <w:rPr>
                <w:rFonts w:ascii="Times New Roman" w:hAnsi="Times New Roman" w:cs="Times New Roman"/>
                <w:sz w:val="28"/>
                <w:szCs w:val="28"/>
              </w:rPr>
            </w:pPr>
            <w:r w:rsidRPr="00394768">
              <w:rPr>
                <w:rFonts w:ascii="Times New Roman" w:hAnsi="Times New Roman" w:cs="Times New Roman"/>
                <w:sz w:val="28"/>
                <w:szCs w:val="28"/>
              </w:rPr>
              <w:t xml:space="preserve">Застосування Методики </w:t>
            </w:r>
            <w:r w:rsidRPr="009C3ACD">
              <w:rPr>
                <w:rFonts w:ascii="Times New Roman" w:hAnsi="Times New Roman" w:cs="Times New Roman"/>
                <w:sz w:val="28"/>
                <w:szCs w:val="28"/>
              </w:rPr>
              <w:t>розрахунку орендної плати</w:t>
            </w:r>
            <w:r w:rsidR="009C3ACD" w:rsidRPr="009C3ACD">
              <w:rPr>
                <w:rFonts w:ascii="Times New Roman" w:hAnsi="Times New Roman" w:cs="Times New Roman"/>
                <w:sz w:val="28"/>
                <w:szCs w:val="28"/>
              </w:rPr>
              <w:t xml:space="preserve"> за державне майно</w:t>
            </w:r>
            <w:r w:rsidRPr="009C3ACD">
              <w:rPr>
                <w:rFonts w:ascii="Times New Roman" w:hAnsi="Times New Roman" w:cs="Times New Roman"/>
                <w:sz w:val="28"/>
                <w:szCs w:val="28"/>
              </w:rPr>
              <w:t xml:space="preserve">, </w:t>
            </w:r>
            <w:r w:rsidR="009C3ACD" w:rsidRPr="009C3ACD">
              <w:rPr>
                <w:rFonts w:ascii="Times New Roman" w:hAnsi="Times New Roman" w:cs="Times New Roman"/>
                <w:sz w:val="28"/>
                <w:szCs w:val="28"/>
              </w:rPr>
              <w:t xml:space="preserve">яка </w:t>
            </w:r>
            <w:r w:rsidRPr="009C3ACD">
              <w:rPr>
                <w:rFonts w:ascii="Times New Roman" w:hAnsi="Times New Roman" w:cs="Times New Roman"/>
                <w:sz w:val="28"/>
                <w:szCs w:val="28"/>
              </w:rPr>
              <w:t>затвердж</w:t>
            </w:r>
            <w:r w:rsidR="009C3ACD" w:rsidRPr="009C3ACD">
              <w:rPr>
                <w:rFonts w:ascii="Times New Roman" w:hAnsi="Times New Roman" w:cs="Times New Roman"/>
                <w:sz w:val="28"/>
                <w:szCs w:val="28"/>
              </w:rPr>
              <w:t xml:space="preserve">ена Постановою </w:t>
            </w:r>
            <w:r w:rsidRPr="009C3ACD">
              <w:rPr>
                <w:rFonts w:ascii="Times New Roman" w:hAnsi="Times New Roman" w:cs="Times New Roman"/>
                <w:sz w:val="28"/>
                <w:szCs w:val="28"/>
              </w:rPr>
              <w:t>Кабінет</w:t>
            </w:r>
            <w:r w:rsidR="009C3ACD" w:rsidRPr="009C3ACD">
              <w:rPr>
                <w:rFonts w:ascii="Times New Roman" w:hAnsi="Times New Roman" w:cs="Times New Roman"/>
                <w:sz w:val="28"/>
                <w:szCs w:val="28"/>
              </w:rPr>
              <w:t xml:space="preserve">у </w:t>
            </w:r>
            <w:r w:rsidRPr="009C3ACD">
              <w:rPr>
                <w:rFonts w:ascii="Times New Roman" w:hAnsi="Times New Roman" w:cs="Times New Roman"/>
                <w:sz w:val="28"/>
                <w:szCs w:val="28"/>
              </w:rPr>
              <w:t xml:space="preserve">Міністрів України </w:t>
            </w:r>
            <w:r w:rsidR="009C3ACD">
              <w:rPr>
                <w:rFonts w:ascii="Times New Roman" w:hAnsi="Times New Roman" w:cs="Times New Roman"/>
                <w:sz w:val="28"/>
                <w:szCs w:val="28"/>
              </w:rPr>
              <w:t>від 28.04.2021</w:t>
            </w:r>
            <w:r w:rsidRPr="00394768">
              <w:rPr>
                <w:rFonts w:ascii="Times New Roman" w:hAnsi="Times New Roman" w:cs="Times New Roman"/>
                <w:sz w:val="28"/>
                <w:szCs w:val="28"/>
              </w:rPr>
              <w:t xml:space="preserve"> </w:t>
            </w:r>
            <w:r w:rsidR="0017308A">
              <w:rPr>
                <w:rFonts w:ascii="Times New Roman" w:hAnsi="Times New Roman" w:cs="Times New Roman"/>
                <w:sz w:val="28"/>
                <w:szCs w:val="28"/>
              </w:rPr>
              <w:t>№630</w:t>
            </w:r>
          </w:p>
        </w:tc>
        <w:tc>
          <w:tcPr>
            <w:tcW w:w="5629" w:type="dxa"/>
            <w:tcBorders>
              <w:top w:val="double" w:sz="4" w:space="0" w:color="000000"/>
              <w:left w:val="double" w:sz="4" w:space="0" w:color="000000"/>
              <w:bottom w:val="double" w:sz="4" w:space="0" w:color="000000"/>
              <w:right w:val="double" w:sz="4" w:space="0" w:color="000000"/>
            </w:tcBorders>
          </w:tcPr>
          <w:p w14:paraId="6F670EF9" w14:textId="618B4F7E" w:rsidR="00BA05CE" w:rsidRPr="00BA05CE" w:rsidRDefault="00BA05CE" w:rsidP="00394768">
            <w:pPr>
              <w:spacing w:line="256" w:lineRule="auto"/>
              <w:rPr>
                <w:rFonts w:ascii="Times New Roman" w:hAnsi="Times New Roman" w:cs="Times New Roman"/>
                <w:sz w:val="28"/>
                <w:szCs w:val="28"/>
              </w:rPr>
            </w:pPr>
            <w:r w:rsidRPr="00394768">
              <w:rPr>
                <w:rFonts w:ascii="Times New Roman" w:hAnsi="Times New Roman" w:cs="Times New Roman"/>
                <w:sz w:val="28"/>
                <w:szCs w:val="28"/>
              </w:rPr>
              <w:t xml:space="preserve">Застосування Методики </w:t>
            </w:r>
            <w:r w:rsidR="009C3ACD" w:rsidRPr="009C3ACD">
              <w:rPr>
                <w:rFonts w:ascii="Times New Roman" w:hAnsi="Times New Roman" w:cs="Times New Roman"/>
                <w:sz w:val="28"/>
                <w:szCs w:val="28"/>
              </w:rPr>
              <w:t xml:space="preserve">за державне майно, яка затверджена Постановою Кабінету Міністрів України </w:t>
            </w:r>
            <w:r w:rsidR="009C3ACD">
              <w:rPr>
                <w:rFonts w:ascii="Times New Roman" w:hAnsi="Times New Roman" w:cs="Times New Roman"/>
                <w:sz w:val="28"/>
                <w:szCs w:val="28"/>
              </w:rPr>
              <w:t>від 28.04.2021</w:t>
            </w:r>
            <w:r w:rsidR="009C3ACD" w:rsidRPr="00394768">
              <w:rPr>
                <w:rFonts w:ascii="Times New Roman" w:hAnsi="Times New Roman" w:cs="Times New Roman"/>
                <w:sz w:val="28"/>
                <w:szCs w:val="28"/>
              </w:rPr>
              <w:t xml:space="preserve"> </w:t>
            </w:r>
            <w:r w:rsidR="0017308A">
              <w:rPr>
                <w:rFonts w:ascii="Times New Roman" w:hAnsi="Times New Roman" w:cs="Times New Roman"/>
                <w:sz w:val="28"/>
                <w:szCs w:val="28"/>
              </w:rPr>
              <w:t>№630</w:t>
            </w:r>
            <w:r w:rsidRPr="00394768">
              <w:rPr>
                <w:rFonts w:ascii="Times New Roman" w:hAnsi="Times New Roman" w:cs="Times New Roman"/>
                <w:sz w:val="28"/>
                <w:szCs w:val="28"/>
              </w:rPr>
              <w:t xml:space="preserve"> щодо державного майна,  не вирішує проблем місцевого рівня та не враховує специфіки діяльності  підприємств</w:t>
            </w:r>
            <w:r w:rsidR="00394768" w:rsidRPr="00394768">
              <w:rPr>
                <w:rFonts w:ascii="Times New Roman" w:hAnsi="Times New Roman" w:cs="Times New Roman"/>
                <w:sz w:val="28"/>
                <w:szCs w:val="28"/>
              </w:rPr>
              <w:t>, установ, організацій</w:t>
            </w:r>
            <w:r w:rsidR="00156B39">
              <w:rPr>
                <w:rFonts w:ascii="Times New Roman" w:hAnsi="Times New Roman" w:cs="Times New Roman"/>
                <w:sz w:val="28"/>
                <w:szCs w:val="28"/>
              </w:rPr>
              <w:t xml:space="preserve">, що є комунальною власністю Сєвєродонецької </w:t>
            </w:r>
            <w:r w:rsidR="00A31937">
              <w:rPr>
                <w:rFonts w:ascii="Times New Roman" w:hAnsi="Times New Roman" w:cs="Times New Roman"/>
                <w:sz w:val="28"/>
                <w:szCs w:val="28"/>
              </w:rPr>
              <w:t xml:space="preserve">міської </w:t>
            </w:r>
            <w:r w:rsidR="00156B39">
              <w:rPr>
                <w:rFonts w:ascii="Times New Roman" w:hAnsi="Times New Roman" w:cs="Times New Roman"/>
                <w:sz w:val="28"/>
                <w:szCs w:val="28"/>
              </w:rPr>
              <w:t>територіальної громади.</w:t>
            </w:r>
          </w:p>
        </w:tc>
      </w:tr>
      <w:tr w:rsidR="00BA05CE" w14:paraId="1BA9CC0D" w14:textId="77777777" w:rsidTr="00BA05CE">
        <w:trPr>
          <w:trHeight w:val="2067"/>
        </w:trPr>
        <w:tc>
          <w:tcPr>
            <w:tcW w:w="4131" w:type="dxa"/>
            <w:tcBorders>
              <w:top w:val="double" w:sz="4" w:space="0" w:color="000000"/>
              <w:left w:val="double" w:sz="4" w:space="0" w:color="000000"/>
              <w:bottom w:val="double" w:sz="4" w:space="0" w:color="000000"/>
              <w:right w:val="double" w:sz="4" w:space="0" w:color="000000"/>
            </w:tcBorders>
            <w:hideMark/>
          </w:tcPr>
          <w:p w14:paraId="27641534" w14:textId="77777777" w:rsidR="009C3ACD" w:rsidRDefault="00BA05CE">
            <w:pPr>
              <w:spacing w:line="256" w:lineRule="auto"/>
              <w:rPr>
                <w:rFonts w:ascii="Times New Roman" w:hAnsi="Times New Roman" w:cs="Times New Roman"/>
                <w:sz w:val="28"/>
                <w:szCs w:val="28"/>
              </w:rPr>
            </w:pPr>
            <w:r w:rsidRPr="00BA05CE">
              <w:rPr>
                <w:rFonts w:ascii="Times New Roman" w:hAnsi="Times New Roman" w:cs="Times New Roman"/>
                <w:sz w:val="28"/>
                <w:szCs w:val="28"/>
              </w:rPr>
              <w:t xml:space="preserve">Альтернатива </w:t>
            </w:r>
            <w:r w:rsidR="00394768">
              <w:rPr>
                <w:rFonts w:ascii="Times New Roman" w:hAnsi="Times New Roman" w:cs="Times New Roman"/>
                <w:sz w:val="28"/>
                <w:szCs w:val="28"/>
              </w:rPr>
              <w:t>3</w:t>
            </w:r>
            <w:r w:rsidRPr="00BA05CE">
              <w:rPr>
                <w:rFonts w:ascii="Times New Roman" w:hAnsi="Times New Roman" w:cs="Times New Roman"/>
                <w:sz w:val="28"/>
                <w:szCs w:val="28"/>
              </w:rPr>
              <w:t xml:space="preserve"> </w:t>
            </w:r>
          </w:p>
          <w:p w14:paraId="1FDC7BA1" w14:textId="4E83997B" w:rsidR="009C3ACD" w:rsidRDefault="009C3ACD" w:rsidP="009C3ACD">
            <w:pPr>
              <w:spacing w:after="303" w:line="254" w:lineRule="auto"/>
              <w:ind w:left="2"/>
              <w:rPr>
                <w:rFonts w:ascii="Times New Roman" w:hAnsi="Times New Roman" w:cs="Times New Roman"/>
                <w:sz w:val="28"/>
                <w:szCs w:val="28"/>
              </w:rPr>
            </w:pPr>
            <w:r>
              <w:rPr>
                <w:rFonts w:ascii="Times New Roman" w:hAnsi="Times New Roman" w:cs="Times New Roman"/>
                <w:sz w:val="28"/>
                <w:szCs w:val="28"/>
              </w:rPr>
              <w:t xml:space="preserve">Прийняття нового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w:t>
            </w:r>
          </w:p>
          <w:p w14:paraId="09A304B5" w14:textId="37560C93" w:rsidR="00BA05CE" w:rsidRPr="00BA05CE" w:rsidRDefault="00BA05CE">
            <w:pPr>
              <w:spacing w:line="256" w:lineRule="auto"/>
              <w:rPr>
                <w:rFonts w:ascii="Times New Roman" w:hAnsi="Times New Roman" w:cs="Times New Roman"/>
                <w:sz w:val="28"/>
                <w:szCs w:val="28"/>
              </w:rPr>
            </w:pPr>
          </w:p>
        </w:tc>
        <w:tc>
          <w:tcPr>
            <w:tcW w:w="5629" w:type="dxa"/>
            <w:tcBorders>
              <w:top w:val="double" w:sz="4" w:space="0" w:color="000000"/>
              <w:left w:val="double" w:sz="4" w:space="0" w:color="000000"/>
              <w:bottom w:val="double" w:sz="4" w:space="0" w:color="000000"/>
              <w:right w:val="double" w:sz="4" w:space="0" w:color="000000"/>
            </w:tcBorders>
            <w:hideMark/>
          </w:tcPr>
          <w:p w14:paraId="419C13A1" w14:textId="1BD24FFD" w:rsidR="00BA05CE" w:rsidRPr="00BA05CE" w:rsidRDefault="00BA05CE" w:rsidP="005809E3">
            <w:pPr>
              <w:spacing w:after="279" w:line="276" w:lineRule="auto"/>
              <w:ind w:left="2" w:right="58"/>
              <w:rPr>
                <w:rFonts w:ascii="Times New Roman" w:hAnsi="Times New Roman" w:cs="Times New Roman"/>
                <w:sz w:val="28"/>
                <w:szCs w:val="28"/>
              </w:rPr>
            </w:pPr>
            <w:r w:rsidRPr="00BA05CE">
              <w:rPr>
                <w:rFonts w:ascii="Times New Roman" w:hAnsi="Times New Roman" w:cs="Times New Roman"/>
                <w:sz w:val="28"/>
                <w:szCs w:val="28"/>
              </w:rPr>
              <w:t>Відповідність вимогам Закону України від 03 жовтня 2019 року № 157-ІХ «Про оренду державного та комунального майна»</w:t>
            </w:r>
            <w:r w:rsidR="000B030C">
              <w:t xml:space="preserve"> </w:t>
            </w:r>
            <w:r w:rsidR="000B030C" w:rsidRPr="000B030C">
              <w:rPr>
                <w:rFonts w:ascii="Times New Roman" w:hAnsi="Times New Roman" w:cs="Times New Roman"/>
                <w:sz w:val="28"/>
                <w:szCs w:val="28"/>
              </w:rPr>
              <w:t>щодо розрахунку орендної плати для орендарів, визначених ст.15 Закону</w:t>
            </w:r>
            <w:r w:rsidR="005809E3">
              <w:rPr>
                <w:rFonts w:ascii="Times New Roman" w:hAnsi="Times New Roman" w:cs="Times New Roman"/>
                <w:sz w:val="28"/>
                <w:szCs w:val="28"/>
              </w:rPr>
              <w:t>.</w:t>
            </w:r>
            <w:r w:rsidR="000B030C" w:rsidRPr="000B030C">
              <w:rPr>
                <w:rFonts w:ascii="Times New Roman" w:hAnsi="Times New Roman" w:cs="Times New Roman"/>
                <w:sz w:val="28"/>
                <w:szCs w:val="28"/>
              </w:rPr>
              <w:t xml:space="preserve"> </w:t>
            </w:r>
            <w:r w:rsidRPr="00BA05CE">
              <w:rPr>
                <w:rFonts w:ascii="Times New Roman" w:hAnsi="Times New Roman" w:cs="Times New Roman"/>
                <w:sz w:val="28"/>
                <w:szCs w:val="28"/>
              </w:rPr>
              <w:t xml:space="preserve">Найбільш доцільна альтернатива. </w:t>
            </w:r>
          </w:p>
        </w:tc>
      </w:tr>
    </w:tbl>
    <w:p w14:paraId="7F05CC43" w14:textId="1C7A11DD" w:rsidR="00B836CC" w:rsidRPr="00B836CC" w:rsidRDefault="00B836CC" w:rsidP="00B836CC">
      <w:pPr>
        <w:pStyle w:val="11"/>
        <w:ind w:firstLine="724"/>
        <w:jc w:val="both"/>
      </w:pPr>
    </w:p>
    <w:p w14:paraId="530AB7D3" w14:textId="05314729" w:rsidR="00EC259E" w:rsidRPr="00EC259E" w:rsidRDefault="00EC259E" w:rsidP="00156B39">
      <w:pPr>
        <w:widowControl/>
        <w:numPr>
          <w:ilvl w:val="0"/>
          <w:numId w:val="13"/>
        </w:numPr>
        <w:tabs>
          <w:tab w:val="left" w:pos="993"/>
        </w:tabs>
        <w:spacing w:after="15" w:line="266" w:lineRule="auto"/>
        <w:ind w:left="0" w:right="4"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Оцінка вибраних альтернативних способів досягнення цілей </w:t>
      </w:r>
    </w:p>
    <w:p w14:paraId="5D3B003A" w14:textId="77777777" w:rsidR="00EC259E" w:rsidRPr="00EC259E" w:rsidRDefault="00EC259E" w:rsidP="006B4E23">
      <w:pPr>
        <w:widowControl/>
        <w:spacing w:line="256" w:lineRule="auto"/>
        <w:ind w:left="1078"/>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16"/>
          <w:szCs w:val="22"/>
          <w:lang w:bidi="ar-SA"/>
        </w:rPr>
        <w:t xml:space="preserve"> </w:t>
      </w:r>
    </w:p>
    <w:p w14:paraId="3B84A476" w14:textId="0AB4A757" w:rsidR="00EC259E" w:rsidRPr="002B7D2A" w:rsidRDefault="00EC259E" w:rsidP="002B7D2A">
      <w:pPr>
        <w:widowControl/>
        <w:spacing w:after="15" w:line="266" w:lineRule="auto"/>
        <w:ind w:firstLine="709"/>
        <w:jc w:val="both"/>
        <w:rPr>
          <w:rFonts w:ascii="Times New Roman" w:eastAsia="Times New Roman" w:hAnsi="Times New Roman" w:cs="Times New Roman"/>
          <w:i/>
          <w:iCs/>
          <w:sz w:val="28"/>
          <w:szCs w:val="22"/>
          <w:lang w:bidi="ar-SA"/>
        </w:rPr>
      </w:pPr>
      <w:r w:rsidRPr="002B7D2A">
        <w:rPr>
          <w:rFonts w:ascii="Times New Roman" w:eastAsia="Times New Roman" w:hAnsi="Times New Roman" w:cs="Times New Roman"/>
          <w:i/>
          <w:iCs/>
          <w:sz w:val="28"/>
          <w:szCs w:val="22"/>
          <w:lang w:bidi="ar-SA"/>
        </w:rPr>
        <w:t xml:space="preserve">Оцінка впливу на сферу інтересів </w:t>
      </w:r>
      <w:r w:rsidR="005809E3" w:rsidRPr="002B7D2A">
        <w:rPr>
          <w:rFonts w:ascii="Times New Roman" w:eastAsia="Times New Roman" w:hAnsi="Times New Roman" w:cs="Times New Roman"/>
          <w:i/>
          <w:iCs/>
          <w:sz w:val="28"/>
          <w:szCs w:val="22"/>
          <w:lang w:bidi="ar-SA"/>
        </w:rPr>
        <w:t>Сєвєродонецької міської територіальної громади</w:t>
      </w:r>
      <w:r w:rsidRPr="002B7D2A">
        <w:rPr>
          <w:rFonts w:ascii="Times New Roman" w:eastAsia="Times New Roman" w:hAnsi="Times New Roman" w:cs="Times New Roman"/>
          <w:i/>
          <w:iCs/>
          <w:sz w:val="28"/>
          <w:szCs w:val="22"/>
          <w:lang w:bidi="ar-SA"/>
        </w:rPr>
        <w:t xml:space="preserve"> </w:t>
      </w:r>
    </w:p>
    <w:tbl>
      <w:tblPr>
        <w:tblStyle w:val="TableGrid2"/>
        <w:tblW w:w="9755" w:type="dxa"/>
        <w:tblInd w:w="-58" w:type="dxa"/>
        <w:tblCellMar>
          <w:top w:w="68" w:type="dxa"/>
          <w:left w:w="55" w:type="dxa"/>
        </w:tblCellMar>
        <w:tblLook w:val="04A0" w:firstRow="1" w:lastRow="0" w:firstColumn="1" w:lastColumn="0" w:noHBand="0" w:noVBand="1"/>
      </w:tblPr>
      <w:tblGrid>
        <w:gridCol w:w="1980"/>
        <w:gridCol w:w="4122"/>
        <w:gridCol w:w="3653"/>
      </w:tblGrid>
      <w:tr w:rsidR="00EC259E" w:rsidRPr="00EC259E" w14:paraId="50A8D772" w14:textId="77777777" w:rsidTr="00EC259E">
        <w:trPr>
          <w:trHeight w:val="305"/>
        </w:trPr>
        <w:tc>
          <w:tcPr>
            <w:tcW w:w="1980" w:type="dxa"/>
            <w:tcBorders>
              <w:top w:val="double" w:sz="4" w:space="0" w:color="000000"/>
              <w:left w:val="double" w:sz="4" w:space="0" w:color="000000"/>
              <w:bottom w:val="double" w:sz="4" w:space="0" w:color="000000"/>
              <w:right w:val="double" w:sz="4" w:space="0" w:color="000000"/>
            </w:tcBorders>
            <w:hideMark/>
          </w:tcPr>
          <w:p w14:paraId="0015AF89" w14:textId="2AC56BD7" w:rsidR="00EC259E" w:rsidRPr="005809E3" w:rsidRDefault="00EC259E" w:rsidP="00EC259E">
            <w:pPr>
              <w:spacing w:line="256" w:lineRule="auto"/>
              <w:ind w:left="10"/>
              <w:jc w:val="both"/>
              <w:rPr>
                <w:rFonts w:ascii="Times New Roman" w:hAnsi="Times New Roman"/>
                <w:sz w:val="28"/>
                <w:szCs w:val="28"/>
              </w:rPr>
            </w:pPr>
            <w:r w:rsidRPr="00EC259E">
              <w:rPr>
                <w:rFonts w:ascii="Times New Roman" w:hAnsi="Times New Roman"/>
                <w:sz w:val="16"/>
              </w:rPr>
              <w:t xml:space="preserve"> </w:t>
            </w:r>
            <w:r w:rsidRPr="005809E3">
              <w:rPr>
                <w:rFonts w:ascii="Times New Roman" w:hAnsi="Times New Roman"/>
                <w:sz w:val="28"/>
                <w:szCs w:val="28"/>
              </w:rPr>
              <w:t xml:space="preserve">Вид альтернативи </w:t>
            </w:r>
          </w:p>
        </w:tc>
        <w:tc>
          <w:tcPr>
            <w:tcW w:w="4122" w:type="dxa"/>
            <w:tcBorders>
              <w:top w:val="double" w:sz="4" w:space="0" w:color="000000"/>
              <w:left w:val="double" w:sz="4" w:space="0" w:color="000000"/>
              <w:bottom w:val="double" w:sz="4" w:space="0" w:color="000000"/>
              <w:right w:val="double" w:sz="4" w:space="0" w:color="000000"/>
            </w:tcBorders>
            <w:hideMark/>
          </w:tcPr>
          <w:p w14:paraId="5AFBCF4B" w14:textId="77777777" w:rsidR="00EC259E" w:rsidRPr="005809E3" w:rsidRDefault="00EC259E" w:rsidP="00EC259E">
            <w:pPr>
              <w:spacing w:line="256" w:lineRule="auto"/>
              <w:ind w:right="62"/>
              <w:jc w:val="center"/>
              <w:rPr>
                <w:rFonts w:ascii="Times New Roman" w:hAnsi="Times New Roman"/>
                <w:sz w:val="28"/>
                <w:szCs w:val="28"/>
              </w:rPr>
            </w:pPr>
            <w:r w:rsidRPr="005809E3">
              <w:rPr>
                <w:rFonts w:ascii="Times New Roman" w:hAnsi="Times New Roman"/>
                <w:sz w:val="28"/>
                <w:szCs w:val="28"/>
              </w:rPr>
              <w:t xml:space="preserve">Вигоди </w:t>
            </w:r>
          </w:p>
        </w:tc>
        <w:tc>
          <w:tcPr>
            <w:tcW w:w="3653" w:type="dxa"/>
            <w:tcBorders>
              <w:top w:val="double" w:sz="4" w:space="0" w:color="000000"/>
              <w:left w:val="double" w:sz="4" w:space="0" w:color="000000"/>
              <w:bottom w:val="double" w:sz="4" w:space="0" w:color="000000"/>
              <w:right w:val="double" w:sz="4" w:space="0" w:color="000000"/>
            </w:tcBorders>
            <w:hideMark/>
          </w:tcPr>
          <w:p w14:paraId="094C56C1" w14:textId="77777777" w:rsidR="00EC259E" w:rsidRPr="005809E3" w:rsidRDefault="00EC259E" w:rsidP="00EC259E">
            <w:pPr>
              <w:spacing w:line="256" w:lineRule="auto"/>
              <w:ind w:right="59"/>
              <w:jc w:val="center"/>
              <w:rPr>
                <w:rFonts w:ascii="Times New Roman" w:hAnsi="Times New Roman"/>
                <w:sz w:val="28"/>
                <w:szCs w:val="28"/>
              </w:rPr>
            </w:pPr>
            <w:r w:rsidRPr="005809E3">
              <w:rPr>
                <w:rFonts w:ascii="Times New Roman" w:hAnsi="Times New Roman"/>
                <w:sz w:val="28"/>
                <w:szCs w:val="28"/>
              </w:rPr>
              <w:t xml:space="preserve">Витрати </w:t>
            </w:r>
          </w:p>
        </w:tc>
      </w:tr>
      <w:tr w:rsidR="00EC259E" w:rsidRPr="00EC259E" w14:paraId="3D92F983" w14:textId="77777777" w:rsidTr="005809E3">
        <w:trPr>
          <w:trHeight w:val="613"/>
        </w:trPr>
        <w:tc>
          <w:tcPr>
            <w:tcW w:w="1980" w:type="dxa"/>
            <w:tcBorders>
              <w:top w:val="double" w:sz="4" w:space="0" w:color="000000"/>
              <w:left w:val="double" w:sz="4" w:space="0" w:color="000000"/>
              <w:bottom w:val="double" w:sz="4" w:space="0" w:color="000000"/>
              <w:right w:val="double" w:sz="4" w:space="0" w:color="000000"/>
            </w:tcBorders>
            <w:hideMark/>
          </w:tcPr>
          <w:p w14:paraId="785E0621" w14:textId="77777777" w:rsidR="00EC259E" w:rsidRPr="005809E3" w:rsidRDefault="00EC259E" w:rsidP="00EC259E">
            <w:pPr>
              <w:spacing w:line="256" w:lineRule="auto"/>
              <w:ind w:left="2"/>
              <w:rPr>
                <w:rFonts w:ascii="Times New Roman" w:hAnsi="Times New Roman"/>
                <w:sz w:val="28"/>
                <w:szCs w:val="28"/>
              </w:rPr>
            </w:pPr>
            <w:r w:rsidRPr="005809E3">
              <w:rPr>
                <w:rFonts w:ascii="Times New Roman" w:hAnsi="Times New Roman"/>
                <w:sz w:val="28"/>
                <w:szCs w:val="28"/>
              </w:rPr>
              <w:t xml:space="preserve">Альтернатива 1  </w:t>
            </w:r>
          </w:p>
          <w:p w14:paraId="4A1E1866" w14:textId="263196F3" w:rsidR="00EC259E" w:rsidRPr="005809E3" w:rsidRDefault="00EC259E" w:rsidP="00EC259E">
            <w:pPr>
              <w:spacing w:line="256" w:lineRule="auto"/>
              <w:ind w:left="2"/>
              <w:rPr>
                <w:rFonts w:ascii="Times New Roman" w:hAnsi="Times New Roman"/>
                <w:sz w:val="28"/>
                <w:szCs w:val="28"/>
              </w:rPr>
            </w:pPr>
          </w:p>
        </w:tc>
        <w:tc>
          <w:tcPr>
            <w:tcW w:w="4122" w:type="dxa"/>
            <w:tcBorders>
              <w:top w:val="double" w:sz="4" w:space="0" w:color="000000"/>
              <w:left w:val="double" w:sz="4" w:space="0" w:color="000000"/>
              <w:bottom w:val="double" w:sz="4" w:space="0" w:color="000000"/>
              <w:right w:val="double" w:sz="4" w:space="0" w:color="000000"/>
            </w:tcBorders>
            <w:hideMark/>
          </w:tcPr>
          <w:p w14:paraId="7F9AD6FE" w14:textId="3C0BA9E5" w:rsidR="00EC259E" w:rsidRPr="005809E3" w:rsidRDefault="005809E3" w:rsidP="005809E3">
            <w:pPr>
              <w:spacing w:line="256" w:lineRule="auto"/>
              <w:ind w:right="58"/>
              <w:jc w:val="center"/>
              <w:rPr>
                <w:rFonts w:ascii="Times New Roman" w:hAnsi="Times New Roman"/>
                <w:sz w:val="28"/>
                <w:szCs w:val="28"/>
              </w:rPr>
            </w:pPr>
            <w:r w:rsidRPr="005809E3">
              <w:rPr>
                <w:rFonts w:ascii="Times New Roman" w:hAnsi="Times New Roman"/>
                <w:sz w:val="28"/>
                <w:szCs w:val="28"/>
              </w:rPr>
              <w:t>В</w:t>
            </w:r>
            <w:r w:rsidR="00EC259E" w:rsidRPr="005809E3">
              <w:rPr>
                <w:rFonts w:ascii="Times New Roman" w:hAnsi="Times New Roman"/>
                <w:sz w:val="28"/>
                <w:szCs w:val="28"/>
              </w:rPr>
              <w:t>ідсутні</w:t>
            </w:r>
          </w:p>
        </w:tc>
        <w:tc>
          <w:tcPr>
            <w:tcW w:w="3653" w:type="dxa"/>
            <w:tcBorders>
              <w:top w:val="double" w:sz="4" w:space="0" w:color="000000"/>
              <w:left w:val="double" w:sz="4" w:space="0" w:color="000000"/>
              <w:bottom w:val="double" w:sz="4" w:space="0" w:color="000000"/>
              <w:right w:val="double" w:sz="4" w:space="0" w:color="000000"/>
            </w:tcBorders>
          </w:tcPr>
          <w:p w14:paraId="7236DB96" w14:textId="55ABFB30" w:rsidR="00EC259E" w:rsidRPr="005809E3" w:rsidRDefault="005809E3" w:rsidP="005809E3">
            <w:pPr>
              <w:spacing w:line="256" w:lineRule="auto"/>
              <w:ind w:right="58"/>
              <w:jc w:val="center"/>
              <w:rPr>
                <w:rFonts w:ascii="Times New Roman" w:hAnsi="Times New Roman"/>
                <w:sz w:val="28"/>
                <w:szCs w:val="28"/>
              </w:rPr>
            </w:pPr>
            <w:r w:rsidRPr="005809E3">
              <w:rPr>
                <w:rFonts w:ascii="Times New Roman" w:hAnsi="Times New Roman"/>
                <w:sz w:val="28"/>
                <w:szCs w:val="28"/>
              </w:rPr>
              <w:t>Не передбачаються</w:t>
            </w:r>
          </w:p>
        </w:tc>
      </w:tr>
      <w:tr w:rsidR="005809E3" w:rsidRPr="00EC259E" w14:paraId="6141D609" w14:textId="77777777" w:rsidTr="005809E3">
        <w:trPr>
          <w:trHeight w:val="27"/>
        </w:trPr>
        <w:tc>
          <w:tcPr>
            <w:tcW w:w="1980" w:type="dxa"/>
            <w:tcBorders>
              <w:top w:val="double" w:sz="4" w:space="0" w:color="000000"/>
              <w:left w:val="double" w:sz="4" w:space="0" w:color="000000"/>
              <w:bottom w:val="double" w:sz="4" w:space="0" w:color="000000"/>
              <w:right w:val="double" w:sz="4" w:space="0" w:color="000000"/>
            </w:tcBorders>
          </w:tcPr>
          <w:p w14:paraId="27459507" w14:textId="4E816E99" w:rsidR="005809E3" w:rsidRPr="005809E3" w:rsidRDefault="005809E3" w:rsidP="005809E3">
            <w:pPr>
              <w:spacing w:line="256" w:lineRule="auto"/>
              <w:ind w:left="2"/>
              <w:rPr>
                <w:rFonts w:ascii="Times New Roman" w:hAnsi="Times New Roman"/>
                <w:sz w:val="28"/>
                <w:szCs w:val="28"/>
              </w:rPr>
            </w:pPr>
            <w:r w:rsidRPr="005809E3">
              <w:rPr>
                <w:rFonts w:ascii="Times New Roman" w:hAnsi="Times New Roman"/>
                <w:sz w:val="28"/>
                <w:szCs w:val="28"/>
              </w:rPr>
              <w:t xml:space="preserve">Альтернатива </w:t>
            </w:r>
            <w:r>
              <w:rPr>
                <w:rFonts w:ascii="Times New Roman" w:hAnsi="Times New Roman"/>
                <w:sz w:val="28"/>
                <w:szCs w:val="28"/>
              </w:rPr>
              <w:t>2</w:t>
            </w:r>
            <w:r w:rsidRPr="005809E3">
              <w:rPr>
                <w:rFonts w:ascii="Times New Roman" w:hAnsi="Times New Roman"/>
                <w:sz w:val="28"/>
                <w:szCs w:val="28"/>
              </w:rPr>
              <w:t xml:space="preserve">  </w:t>
            </w:r>
          </w:p>
          <w:p w14:paraId="12EF0A60" w14:textId="77777777" w:rsidR="005809E3" w:rsidRPr="00EC259E" w:rsidRDefault="005809E3" w:rsidP="005809E3">
            <w:pPr>
              <w:spacing w:after="160" w:line="256" w:lineRule="auto"/>
              <w:rPr>
                <w:rFonts w:ascii="Times New Roman" w:hAnsi="Times New Roman"/>
                <w:sz w:val="28"/>
              </w:rPr>
            </w:pPr>
          </w:p>
        </w:tc>
        <w:tc>
          <w:tcPr>
            <w:tcW w:w="4122" w:type="dxa"/>
            <w:tcBorders>
              <w:top w:val="double" w:sz="4" w:space="0" w:color="000000"/>
              <w:left w:val="double" w:sz="4" w:space="0" w:color="000000"/>
              <w:bottom w:val="double" w:sz="4" w:space="0" w:color="000000"/>
              <w:right w:val="double" w:sz="4" w:space="0" w:color="000000"/>
            </w:tcBorders>
          </w:tcPr>
          <w:p w14:paraId="776DBC2B" w14:textId="2C69F21D" w:rsidR="005809E3" w:rsidRPr="00EC259E" w:rsidRDefault="005809E3" w:rsidP="005809E3">
            <w:pPr>
              <w:spacing w:after="160" w:line="256" w:lineRule="auto"/>
              <w:jc w:val="center"/>
              <w:rPr>
                <w:rFonts w:ascii="Times New Roman" w:hAnsi="Times New Roman"/>
                <w:sz w:val="28"/>
              </w:rPr>
            </w:pPr>
            <w:r w:rsidRPr="005809E3">
              <w:rPr>
                <w:rFonts w:ascii="Times New Roman" w:hAnsi="Times New Roman"/>
                <w:sz w:val="28"/>
                <w:szCs w:val="28"/>
              </w:rPr>
              <w:t>Відсутні</w:t>
            </w:r>
          </w:p>
        </w:tc>
        <w:tc>
          <w:tcPr>
            <w:tcW w:w="3653" w:type="dxa"/>
            <w:tcBorders>
              <w:top w:val="double" w:sz="4" w:space="0" w:color="000000"/>
              <w:left w:val="double" w:sz="4" w:space="0" w:color="000000"/>
              <w:bottom w:val="double" w:sz="4" w:space="0" w:color="000000"/>
              <w:right w:val="double" w:sz="4" w:space="0" w:color="000000"/>
            </w:tcBorders>
          </w:tcPr>
          <w:p w14:paraId="47D8BFC5" w14:textId="29368AF7" w:rsidR="005809E3" w:rsidRPr="00EC259E" w:rsidRDefault="005809E3" w:rsidP="005809E3">
            <w:pPr>
              <w:spacing w:line="256" w:lineRule="auto"/>
              <w:ind w:right="56"/>
              <w:jc w:val="center"/>
              <w:rPr>
                <w:rFonts w:ascii="Times New Roman" w:hAnsi="Times New Roman"/>
                <w:sz w:val="28"/>
              </w:rPr>
            </w:pPr>
            <w:r w:rsidRPr="004F4211">
              <w:rPr>
                <w:rFonts w:ascii="Times New Roman" w:hAnsi="Times New Roman"/>
                <w:sz w:val="28"/>
                <w:szCs w:val="28"/>
              </w:rPr>
              <w:t>Не передбачаються</w:t>
            </w:r>
          </w:p>
        </w:tc>
      </w:tr>
      <w:tr w:rsidR="005809E3" w:rsidRPr="00EC259E" w14:paraId="05D84849" w14:textId="77777777" w:rsidTr="005809E3">
        <w:trPr>
          <w:trHeight w:val="1744"/>
        </w:trPr>
        <w:tc>
          <w:tcPr>
            <w:tcW w:w="1980" w:type="dxa"/>
            <w:tcBorders>
              <w:top w:val="double" w:sz="4" w:space="0" w:color="000000"/>
              <w:left w:val="double" w:sz="4" w:space="0" w:color="000000"/>
              <w:bottom w:val="double" w:sz="4" w:space="0" w:color="000000"/>
              <w:right w:val="double" w:sz="4" w:space="0" w:color="000000"/>
            </w:tcBorders>
            <w:hideMark/>
          </w:tcPr>
          <w:p w14:paraId="35BCFF92" w14:textId="491BAB5D" w:rsidR="005809E3" w:rsidRPr="005809E3" w:rsidRDefault="005809E3" w:rsidP="005809E3">
            <w:pPr>
              <w:spacing w:line="256" w:lineRule="auto"/>
              <w:ind w:left="2"/>
              <w:rPr>
                <w:rFonts w:ascii="Times New Roman" w:hAnsi="Times New Roman"/>
                <w:sz w:val="28"/>
                <w:szCs w:val="28"/>
              </w:rPr>
            </w:pPr>
            <w:r w:rsidRPr="005809E3">
              <w:rPr>
                <w:rFonts w:ascii="Times New Roman" w:hAnsi="Times New Roman"/>
                <w:sz w:val="28"/>
                <w:szCs w:val="28"/>
              </w:rPr>
              <w:t>Альтернатива 3</w:t>
            </w:r>
          </w:p>
        </w:tc>
        <w:tc>
          <w:tcPr>
            <w:tcW w:w="4122" w:type="dxa"/>
            <w:tcBorders>
              <w:top w:val="double" w:sz="4" w:space="0" w:color="000000"/>
              <w:left w:val="double" w:sz="4" w:space="0" w:color="000000"/>
              <w:bottom w:val="double" w:sz="4" w:space="0" w:color="000000"/>
              <w:right w:val="double" w:sz="4" w:space="0" w:color="000000"/>
            </w:tcBorders>
            <w:hideMark/>
          </w:tcPr>
          <w:p w14:paraId="2EA557E3" w14:textId="2681950D" w:rsidR="005809E3" w:rsidRPr="005809E3" w:rsidRDefault="005809E3" w:rsidP="005809E3">
            <w:pPr>
              <w:spacing w:line="256" w:lineRule="auto"/>
              <w:ind w:right="59"/>
              <w:jc w:val="center"/>
              <w:rPr>
                <w:rFonts w:ascii="Times New Roman" w:hAnsi="Times New Roman"/>
                <w:sz w:val="28"/>
                <w:szCs w:val="28"/>
              </w:rPr>
            </w:pPr>
            <w:r w:rsidRPr="005809E3">
              <w:rPr>
                <w:rFonts w:ascii="Times New Roman" w:hAnsi="Times New Roman"/>
                <w:sz w:val="28"/>
                <w:szCs w:val="28"/>
              </w:rPr>
              <w:t>Забезпечить виконання положень Закону України від 03 жовтня 2019 року № 157-ІХ «Про оренду державного і комунального майна»</w:t>
            </w:r>
          </w:p>
        </w:tc>
        <w:tc>
          <w:tcPr>
            <w:tcW w:w="3653" w:type="dxa"/>
            <w:tcBorders>
              <w:top w:val="double" w:sz="4" w:space="0" w:color="000000"/>
              <w:left w:val="double" w:sz="4" w:space="0" w:color="000000"/>
              <w:bottom w:val="double" w:sz="4" w:space="0" w:color="000000"/>
              <w:right w:val="double" w:sz="4" w:space="0" w:color="000000"/>
            </w:tcBorders>
            <w:hideMark/>
          </w:tcPr>
          <w:p w14:paraId="18295CC2" w14:textId="73981133" w:rsidR="005809E3" w:rsidRPr="005809E3" w:rsidRDefault="005809E3" w:rsidP="005809E3">
            <w:pPr>
              <w:spacing w:line="256" w:lineRule="auto"/>
              <w:ind w:right="55"/>
              <w:jc w:val="center"/>
              <w:rPr>
                <w:rFonts w:ascii="Times New Roman" w:hAnsi="Times New Roman"/>
                <w:sz w:val="28"/>
                <w:szCs w:val="28"/>
              </w:rPr>
            </w:pPr>
            <w:r w:rsidRPr="005809E3">
              <w:rPr>
                <w:rFonts w:ascii="Times New Roman" w:hAnsi="Times New Roman"/>
                <w:sz w:val="28"/>
                <w:szCs w:val="28"/>
              </w:rPr>
              <w:t>Не передбачаються</w:t>
            </w:r>
          </w:p>
        </w:tc>
      </w:tr>
    </w:tbl>
    <w:p w14:paraId="50CC36FD" w14:textId="77777777" w:rsidR="002B7D2A" w:rsidRDefault="002B7D2A" w:rsidP="00EC259E">
      <w:pPr>
        <w:widowControl/>
        <w:spacing w:after="15" w:line="266" w:lineRule="auto"/>
        <w:ind w:left="720"/>
        <w:jc w:val="both"/>
        <w:rPr>
          <w:rFonts w:ascii="Times New Roman" w:eastAsia="Times New Roman" w:hAnsi="Times New Roman" w:cs="Times New Roman"/>
          <w:sz w:val="28"/>
          <w:szCs w:val="22"/>
          <w:lang w:bidi="ar-SA"/>
        </w:rPr>
      </w:pPr>
    </w:p>
    <w:p w14:paraId="70782CDE" w14:textId="72C6D452" w:rsidR="00EC259E" w:rsidRPr="00EC259E" w:rsidRDefault="00EC259E" w:rsidP="00EC259E">
      <w:pPr>
        <w:widowControl/>
        <w:spacing w:after="15" w:line="266" w:lineRule="auto"/>
        <w:ind w:left="72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Оцінка впливу на сферу інтересів суб’єктів господарювання  </w:t>
      </w:r>
    </w:p>
    <w:p w14:paraId="31A8F703" w14:textId="3B186A8A" w:rsidR="00EC259E" w:rsidRPr="00EC259E" w:rsidRDefault="00EC259E" w:rsidP="00472424">
      <w:pPr>
        <w:widowControl/>
        <w:spacing w:after="94" w:line="256" w:lineRule="auto"/>
        <w:ind w:firstLine="709"/>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Припустимо, що кількість суб’єктів господарювання (орендарі </w:t>
      </w:r>
      <w:r>
        <w:rPr>
          <w:rFonts w:ascii="Times New Roman" w:eastAsia="Times New Roman" w:hAnsi="Times New Roman" w:cs="Times New Roman"/>
          <w:sz w:val="28"/>
          <w:szCs w:val="22"/>
          <w:lang w:bidi="ar-SA"/>
        </w:rPr>
        <w:t>комунального</w:t>
      </w:r>
      <w:r w:rsidRPr="00EC259E">
        <w:rPr>
          <w:rFonts w:ascii="Times New Roman" w:eastAsia="Times New Roman" w:hAnsi="Times New Roman" w:cs="Times New Roman"/>
          <w:sz w:val="28"/>
          <w:szCs w:val="22"/>
          <w:lang w:bidi="ar-SA"/>
        </w:rPr>
        <w:t xml:space="preserve"> майна), </w:t>
      </w:r>
      <w:r w:rsidR="00BF6629" w:rsidRPr="00BF6629">
        <w:rPr>
          <w:rFonts w:ascii="Times New Roman" w:eastAsia="Times New Roman" w:hAnsi="Times New Roman" w:cs="Times New Roman"/>
          <w:sz w:val="28"/>
          <w:szCs w:val="22"/>
          <w:lang w:bidi="ar-SA"/>
        </w:rPr>
        <w:t xml:space="preserve">що мають виконати вимоги регулювання, становитиме </w:t>
      </w:r>
      <w:r w:rsidR="00BF6629" w:rsidRPr="00BF6629">
        <w:rPr>
          <w:rFonts w:ascii="Times New Roman" w:eastAsia="Times New Roman" w:hAnsi="Times New Roman" w:cs="Times New Roman"/>
          <w:sz w:val="28"/>
          <w:szCs w:val="22"/>
          <w:lang w:bidi="ar-SA"/>
        </w:rPr>
        <w:lastRenderedPageBreak/>
        <w:t>100</w:t>
      </w:r>
      <w:r w:rsidR="00472424">
        <w:rPr>
          <w:rFonts w:ascii="Times New Roman" w:eastAsia="Times New Roman" w:hAnsi="Times New Roman" w:cs="Times New Roman"/>
          <w:sz w:val="28"/>
          <w:szCs w:val="22"/>
          <w:lang w:bidi="ar-SA"/>
        </w:rPr>
        <w:t> </w:t>
      </w:r>
      <w:r w:rsidR="00BF6629" w:rsidRPr="00BF6629">
        <w:rPr>
          <w:rFonts w:ascii="Times New Roman" w:eastAsia="Times New Roman" w:hAnsi="Times New Roman" w:cs="Times New Roman"/>
          <w:sz w:val="28"/>
          <w:szCs w:val="22"/>
          <w:lang w:bidi="ar-SA"/>
        </w:rPr>
        <w:t xml:space="preserve">од., з них 10 суб’єктів мають право на продовження договорів оренди відповідно до Закону на тих же умовах, у разі, якщо цей договір продовжується вперше, на яких і розповсюджується зазначене регулювання. </w:t>
      </w:r>
    </w:p>
    <w:p w14:paraId="03CFE52C" w14:textId="34E2BDD4" w:rsidR="00BF6629" w:rsidRPr="00EC259E" w:rsidRDefault="00EC259E" w:rsidP="00CA7157">
      <w:pPr>
        <w:widowControl/>
        <w:spacing w:line="256" w:lineRule="auto"/>
        <w:rPr>
          <w:rFonts w:ascii="Times New Roman" w:eastAsia="Times New Roman" w:hAnsi="Times New Roman" w:cs="Times New Roman"/>
          <w:sz w:val="28"/>
          <w:szCs w:val="22"/>
          <w:lang w:bidi="ar-SA"/>
        </w:rPr>
      </w:pPr>
      <w:r w:rsidRPr="00BF6629">
        <w:rPr>
          <w:rFonts w:ascii="Times New Roman" w:eastAsia="Times New Roman" w:hAnsi="Times New Roman" w:cs="Times New Roman"/>
          <w:sz w:val="28"/>
          <w:szCs w:val="22"/>
          <w:lang w:bidi="ar-SA"/>
        </w:rPr>
        <w:t xml:space="preserve"> </w:t>
      </w:r>
    </w:p>
    <w:tbl>
      <w:tblPr>
        <w:tblStyle w:val="TableGrid2"/>
        <w:tblW w:w="9541" w:type="dxa"/>
        <w:tblInd w:w="-58" w:type="dxa"/>
        <w:tblCellMar>
          <w:top w:w="68" w:type="dxa"/>
          <w:left w:w="55" w:type="dxa"/>
        </w:tblCellMar>
        <w:tblLook w:val="04A0" w:firstRow="1" w:lastRow="0" w:firstColumn="1" w:lastColumn="0" w:noHBand="0" w:noVBand="1"/>
      </w:tblPr>
      <w:tblGrid>
        <w:gridCol w:w="2134"/>
        <w:gridCol w:w="4855"/>
        <w:gridCol w:w="2552"/>
      </w:tblGrid>
      <w:tr w:rsidR="00EC259E" w:rsidRPr="00EC259E" w14:paraId="6E813469" w14:textId="77777777" w:rsidTr="0017308A">
        <w:trPr>
          <w:trHeight w:val="874"/>
        </w:trPr>
        <w:tc>
          <w:tcPr>
            <w:tcW w:w="2134" w:type="dxa"/>
            <w:tcBorders>
              <w:top w:val="double" w:sz="4" w:space="0" w:color="000000"/>
              <w:left w:val="double" w:sz="4" w:space="0" w:color="000000"/>
              <w:bottom w:val="double" w:sz="4" w:space="0" w:color="000000"/>
              <w:right w:val="double" w:sz="4" w:space="0" w:color="000000"/>
            </w:tcBorders>
            <w:vAlign w:val="center"/>
            <w:hideMark/>
          </w:tcPr>
          <w:p w14:paraId="045C3FAF" w14:textId="1F1C6AEF" w:rsidR="00EC259E" w:rsidRPr="0055610F" w:rsidRDefault="00EC259E" w:rsidP="00267058">
            <w:pPr>
              <w:spacing w:line="256" w:lineRule="auto"/>
              <w:ind w:left="86"/>
              <w:jc w:val="center"/>
              <w:rPr>
                <w:rFonts w:ascii="Times New Roman" w:hAnsi="Times New Roman"/>
                <w:sz w:val="28"/>
                <w:szCs w:val="28"/>
              </w:rPr>
            </w:pPr>
            <w:r w:rsidRPr="0055610F">
              <w:rPr>
                <w:rFonts w:ascii="Times New Roman" w:hAnsi="Times New Roman"/>
                <w:sz w:val="28"/>
                <w:szCs w:val="28"/>
              </w:rPr>
              <w:t>Вид альтернативи</w:t>
            </w:r>
          </w:p>
        </w:tc>
        <w:tc>
          <w:tcPr>
            <w:tcW w:w="4855" w:type="dxa"/>
            <w:tcBorders>
              <w:top w:val="double" w:sz="4" w:space="0" w:color="000000"/>
              <w:left w:val="double" w:sz="4" w:space="0" w:color="000000"/>
              <w:bottom w:val="double" w:sz="4" w:space="0" w:color="000000"/>
              <w:right w:val="double" w:sz="4" w:space="0" w:color="000000"/>
            </w:tcBorders>
            <w:vAlign w:val="center"/>
            <w:hideMark/>
          </w:tcPr>
          <w:p w14:paraId="6203D96A" w14:textId="203F0BFF" w:rsidR="00EC259E" w:rsidRPr="0055610F" w:rsidRDefault="00EC259E" w:rsidP="00267058">
            <w:pPr>
              <w:spacing w:line="256" w:lineRule="auto"/>
              <w:ind w:left="25"/>
              <w:jc w:val="center"/>
              <w:rPr>
                <w:rFonts w:ascii="Times New Roman" w:hAnsi="Times New Roman"/>
                <w:sz w:val="28"/>
                <w:szCs w:val="28"/>
              </w:rPr>
            </w:pPr>
            <w:r w:rsidRPr="0055610F">
              <w:rPr>
                <w:rFonts w:ascii="Times New Roman" w:hAnsi="Times New Roman"/>
                <w:sz w:val="28"/>
                <w:szCs w:val="28"/>
              </w:rPr>
              <w:t>Вигоди</w:t>
            </w:r>
          </w:p>
        </w:tc>
        <w:tc>
          <w:tcPr>
            <w:tcW w:w="2552" w:type="dxa"/>
            <w:tcBorders>
              <w:top w:val="double" w:sz="4" w:space="0" w:color="000000"/>
              <w:left w:val="double" w:sz="4" w:space="0" w:color="000000"/>
              <w:bottom w:val="double" w:sz="4" w:space="0" w:color="000000"/>
              <w:right w:val="double" w:sz="4" w:space="0" w:color="000000"/>
            </w:tcBorders>
            <w:vAlign w:val="center"/>
            <w:hideMark/>
          </w:tcPr>
          <w:p w14:paraId="48B8A43B" w14:textId="2DBBFFD1" w:rsidR="00EC259E" w:rsidRPr="0055610F" w:rsidRDefault="00EC259E" w:rsidP="00267058">
            <w:pPr>
              <w:spacing w:line="256" w:lineRule="auto"/>
              <w:ind w:left="21"/>
              <w:jc w:val="center"/>
              <w:rPr>
                <w:rFonts w:ascii="Times New Roman" w:hAnsi="Times New Roman"/>
                <w:sz w:val="28"/>
                <w:szCs w:val="28"/>
              </w:rPr>
            </w:pPr>
            <w:r w:rsidRPr="0055610F">
              <w:rPr>
                <w:rFonts w:ascii="Times New Roman" w:hAnsi="Times New Roman"/>
                <w:sz w:val="28"/>
                <w:szCs w:val="28"/>
              </w:rPr>
              <w:t>Витрати</w:t>
            </w:r>
          </w:p>
        </w:tc>
      </w:tr>
      <w:tr w:rsidR="002B7D2A" w:rsidRPr="00EC259E" w14:paraId="51690695" w14:textId="77777777" w:rsidTr="0017308A">
        <w:trPr>
          <w:trHeight w:val="731"/>
        </w:trPr>
        <w:tc>
          <w:tcPr>
            <w:tcW w:w="2134" w:type="dxa"/>
            <w:tcBorders>
              <w:top w:val="double" w:sz="4" w:space="0" w:color="000000"/>
              <w:left w:val="double" w:sz="4" w:space="0" w:color="000000"/>
              <w:right w:val="double" w:sz="4" w:space="0" w:color="000000"/>
            </w:tcBorders>
            <w:hideMark/>
          </w:tcPr>
          <w:p w14:paraId="6DC49D33" w14:textId="77777777" w:rsidR="002B7D2A" w:rsidRPr="0055610F" w:rsidRDefault="002B7D2A" w:rsidP="002B7D2A">
            <w:pPr>
              <w:spacing w:line="256" w:lineRule="auto"/>
              <w:ind w:left="2"/>
              <w:rPr>
                <w:rFonts w:ascii="Times New Roman" w:hAnsi="Times New Roman"/>
                <w:sz w:val="28"/>
                <w:szCs w:val="28"/>
              </w:rPr>
            </w:pPr>
            <w:r w:rsidRPr="0055610F">
              <w:rPr>
                <w:rFonts w:ascii="Times New Roman" w:hAnsi="Times New Roman"/>
                <w:sz w:val="28"/>
                <w:szCs w:val="28"/>
              </w:rPr>
              <w:t xml:space="preserve">Альтернатива 1 </w:t>
            </w:r>
          </w:p>
        </w:tc>
        <w:tc>
          <w:tcPr>
            <w:tcW w:w="4855" w:type="dxa"/>
            <w:tcBorders>
              <w:top w:val="double" w:sz="4" w:space="0" w:color="000000"/>
              <w:left w:val="double" w:sz="4" w:space="0" w:color="000000"/>
              <w:right w:val="double" w:sz="4" w:space="0" w:color="000000"/>
            </w:tcBorders>
            <w:hideMark/>
          </w:tcPr>
          <w:p w14:paraId="2ACF8D83" w14:textId="4DBE5BCA" w:rsidR="002B7D2A" w:rsidRPr="0055610F" w:rsidRDefault="0055610F" w:rsidP="002B7D2A">
            <w:pPr>
              <w:spacing w:line="256" w:lineRule="auto"/>
              <w:ind w:left="28"/>
              <w:jc w:val="center"/>
              <w:rPr>
                <w:rFonts w:ascii="Times New Roman" w:hAnsi="Times New Roman"/>
                <w:sz w:val="28"/>
                <w:szCs w:val="28"/>
              </w:rPr>
            </w:pPr>
            <w:r>
              <w:rPr>
                <w:rFonts w:ascii="Times New Roman" w:hAnsi="Times New Roman"/>
                <w:sz w:val="28"/>
                <w:szCs w:val="28"/>
              </w:rPr>
              <w:t>В</w:t>
            </w:r>
            <w:r w:rsidR="002B7D2A" w:rsidRPr="0055610F">
              <w:rPr>
                <w:rFonts w:ascii="Times New Roman" w:hAnsi="Times New Roman"/>
                <w:sz w:val="28"/>
                <w:szCs w:val="28"/>
              </w:rPr>
              <w:t xml:space="preserve">ідсутні </w:t>
            </w:r>
          </w:p>
        </w:tc>
        <w:tc>
          <w:tcPr>
            <w:tcW w:w="2552" w:type="dxa"/>
            <w:tcBorders>
              <w:top w:val="double" w:sz="4" w:space="0" w:color="000000"/>
              <w:left w:val="double" w:sz="4" w:space="0" w:color="000000"/>
              <w:right w:val="double" w:sz="4" w:space="0" w:color="000000"/>
            </w:tcBorders>
            <w:hideMark/>
          </w:tcPr>
          <w:p w14:paraId="7774A84A" w14:textId="73AFA37C" w:rsidR="002B7D2A" w:rsidRPr="0055610F" w:rsidRDefault="002B7D2A" w:rsidP="002B7D2A">
            <w:pPr>
              <w:spacing w:line="256" w:lineRule="auto"/>
              <w:ind w:right="12"/>
              <w:rPr>
                <w:rFonts w:ascii="Times New Roman" w:hAnsi="Times New Roman"/>
                <w:sz w:val="28"/>
                <w:szCs w:val="28"/>
              </w:rPr>
            </w:pPr>
            <w:r w:rsidRPr="0055610F">
              <w:rPr>
                <w:rFonts w:ascii="Times New Roman" w:hAnsi="Times New Roman"/>
                <w:sz w:val="28"/>
                <w:szCs w:val="28"/>
              </w:rPr>
              <w:t>Не передбачаються</w:t>
            </w:r>
          </w:p>
        </w:tc>
      </w:tr>
      <w:tr w:rsidR="002B7D2A" w:rsidRPr="00EC259E" w14:paraId="2FD1AE2D" w14:textId="77777777" w:rsidTr="0017308A">
        <w:trPr>
          <w:trHeight w:val="539"/>
        </w:trPr>
        <w:tc>
          <w:tcPr>
            <w:tcW w:w="2134" w:type="dxa"/>
            <w:tcBorders>
              <w:top w:val="double" w:sz="4" w:space="0" w:color="000000"/>
              <w:left w:val="double" w:sz="4" w:space="0" w:color="000000"/>
              <w:right w:val="double" w:sz="4" w:space="0" w:color="000000"/>
            </w:tcBorders>
          </w:tcPr>
          <w:p w14:paraId="379FBBB9" w14:textId="40F51867" w:rsidR="002B7D2A" w:rsidRPr="0055610F" w:rsidRDefault="002B7D2A" w:rsidP="002B7D2A">
            <w:pPr>
              <w:spacing w:line="256" w:lineRule="auto"/>
              <w:ind w:left="2"/>
              <w:rPr>
                <w:rFonts w:ascii="Times New Roman" w:hAnsi="Times New Roman"/>
                <w:sz w:val="28"/>
                <w:szCs w:val="28"/>
              </w:rPr>
            </w:pPr>
            <w:r w:rsidRPr="0055610F">
              <w:rPr>
                <w:rFonts w:ascii="Times New Roman" w:hAnsi="Times New Roman"/>
                <w:sz w:val="28"/>
                <w:szCs w:val="28"/>
              </w:rPr>
              <w:t xml:space="preserve">Альтернатива 2  </w:t>
            </w:r>
          </w:p>
        </w:tc>
        <w:tc>
          <w:tcPr>
            <w:tcW w:w="4855" w:type="dxa"/>
            <w:tcBorders>
              <w:top w:val="double" w:sz="4" w:space="0" w:color="000000"/>
              <w:left w:val="double" w:sz="4" w:space="0" w:color="000000"/>
              <w:right w:val="double" w:sz="4" w:space="0" w:color="000000"/>
            </w:tcBorders>
          </w:tcPr>
          <w:p w14:paraId="05F1863F" w14:textId="5C1A4E8E" w:rsidR="002B7D2A" w:rsidRPr="0055610F" w:rsidRDefault="0055610F" w:rsidP="002B7D2A">
            <w:pPr>
              <w:spacing w:line="256" w:lineRule="auto"/>
              <w:ind w:left="28"/>
              <w:jc w:val="center"/>
              <w:rPr>
                <w:rFonts w:ascii="Times New Roman" w:hAnsi="Times New Roman"/>
                <w:sz w:val="28"/>
                <w:szCs w:val="28"/>
              </w:rPr>
            </w:pPr>
            <w:r>
              <w:rPr>
                <w:rFonts w:ascii="Times New Roman" w:hAnsi="Times New Roman"/>
                <w:sz w:val="28"/>
                <w:szCs w:val="28"/>
              </w:rPr>
              <w:t>В</w:t>
            </w:r>
            <w:r w:rsidRPr="0055610F">
              <w:rPr>
                <w:rFonts w:ascii="Times New Roman" w:hAnsi="Times New Roman"/>
                <w:sz w:val="28"/>
                <w:szCs w:val="28"/>
              </w:rPr>
              <w:t>ідсутні</w:t>
            </w:r>
          </w:p>
        </w:tc>
        <w:tc>
          <w:tcPr>
            <w:tcW w:w="2552" w:type="dxa"/>
            <w:tcBorders>
              <w:top w:val="double" w:sz="4" w:space="0" w:color="000000"/>
              <w:left w:val="double" w:sz="4" w:space="0" w:color="000000"/>
              <w:right w:val="double" w:sz="4" w:space="0" w:color="000000"/>
            </w:tcBorders>
          </w:tcPr>
          <w:p w14:paraId="1DB7D0CB" w14:textId="341FCE59" w:rsidR="002B7D2A" w:rsidRPr="0055610F" w:rsidRDefault="002B7D2A" w:rsidP="002B7D2A">
            <w:pPr>
              <w:spacing w:line="256" w:lineRule="auto"/>
              <w:ind w:right="65"/>
              <w:rPr>
                <w:rFonts w:ascii="Times New Roman" w:hAnsi="Times New Roman"/>
                <w:sz w:val="28"/>
                <w:szCs w:val="28"/>
              </w:rPr>
            </w:pPr>
            <w:r w:rsidRPr="0055610F">
              <w:rPr>
                <w:rFonts w:ascii="Times New Roman" w:hAnsi="Times New Roman"/>
                <w:sz w:val="28"/>
                <w:szCs w:val="28"/>
              </w:rPr>
              <w:t>Не передбачаються</w:t>
            </w:r>
          </w:p>
        </w:tc>
      </w:tr>
      <w:tr w:rsidR="002B7D2A" w:rsidRPr="00EC259E" w14:paraId="396C32C1" w14:textId="77777777" w:rsidTr="0017308A">
        <w:trPr>
          <w:trHeight w:val="2393"/>
        </w:trPr>
        <w:tc>
          <w:tcPr>
            <w:tcW w:w="2134" w:type="dxa"/>
            <w:tcBorders>
              <w:top w:val="double" w:sz="4" w:space="0" w:color="000000"/>
              <w:left w:val="double" w:sz="4" w:space="0" w:color="000000"/>
              <w:bottom w:val="double" w:sz="4" w:space="0" w:color="000000"/>
              <w:right w:val="double" w:sz="4" w:space="0" w:color="000000"/>
            </w:tcBorders>
            <w:hideMark/>
          </w:tcPr>
          <w:p w14:paraId="179A42D5" w14:textId="104D3F0C" w:rsidR="002B7D2A" w:rsidRPr="0055610F" w:rsidRDefault="002B7D2A" w:rsidP="002B7D2A">
            <w:pPr>
              <w:spacing w:line="256" w:lineRule="auto"/>
              <w:ind w:left="2"/>
              <w:rPr>
                <w:rFonts w:ascii="Times New Roman" w:hAnsi="Times New Roman"/>
                <w:sz w:val="28"/>
                <w:szCs w:val="28"/>
              </w:rPr>
            </w:pPr>
            <w:r w:rsidRPr="0055610F">
              <w:rPr>
                <w:rFonts w:ascii="Times New Roman" w:hAnsi="Times New Roman"/>
                <w:sz w:val="28"/>
                <w:szCs w:val="28"/>
              </w:rPr>
              <w:t xml:space="preserve">Альтернатива 3  </w:t>
            </w:r>
          </w:p>
          <w:p w14:paraId="1402A5BF" w14:textId="77777777" w:rsidR="002B7D2A" w:rsidRPr="0055610F" w:rsidRDefault="002B7D2A" w:rsidP="002B7D2A">
            <w:pPr>
              <w:spacing w:line="256" w:lineRule="auto"/>
              <w:ind w:left="2"/>
              <w:rPr>
                <w:rFonts w:ascii="Times New Roman" w:hAnsi="Times New Roman"/>
                <w:sz w:val="28"/>
                <w:szCs w:val="28"/>
              </w:rPr>
            </w:pPr>
            <w:r w:rsidRPr="0055610F">
              <w:rPr>
                <w:rFonts w:ascii="Times New Roman" w:hAnsi="Times New Roman"/>
                <w:sz w:val="28"/>
                <w:szCs w:val="28"/>
              </w:rPr>
              <w:t xml:space="preserve"> </w:t>
            </w:r>
          </w:p>
        </w:tc>
        <w:tc>
          <w:tcPr>
            <w:tcW w:w="4855" w:type="dxa"/>
            <w:tcBorders>
              <w:top w:val="double" w:sz="4" w:space="0" w:color="000000"/>
              <w:left w:val="double" w:sz="4" w:space="0" w:color="000000"/>
              <w:bottom w:val="double" w:sz="4" w:space="0" w:color="000000"/>
              <w:right w:val="double" w:sz="4" w:space="0" w:color="000000"/>
            </w:tcBorders>
            <w:hideMark/>
          </w:tcPr>
          <w:p w14:paraId="449D44FD" w14:textId="50A113A1" w:rsidR="002B7D2A" w:rsidRPr="0055610F" w:rsidRDefault="002B7D2A" w:rsidP="002B7D2A">
            <w:pPr>
              <w:spacing w:line="256" w:lineRule="auto"/>
              <w:ind w:right="58"/>
              <w:jc w:val="both"/>
              <w:rPr>
                <w:rFonts w:ascii="Times New Roman" w:hAnsi="Times New Roman"/>
                <w:sz w:val="28"/>
                <w:szCs w:val="28"/>
              </w:rPr>
            </w:pPr>
            <w:r w:rsidRPr="0055610F">
              <w:rPr>
                <w:rFonts w:ascii="Times New Roman" w:hAnsi="Times New Roman"/>
                <w:sz w:val="28"/>
                <w:szCs w:val="28"/>
              </w:rPr>
              <w:t xml:space="preserve"> Забезпечить виконання положень Закону України від 03 жовтня 2019 року № 157-ІХ «Про оренду державного і комунального майна», а також орендарів, які мають право на укладення договору оренди без проведення аукціону</w:t>
            </w:r>
            <w:r w:rsidR="0017308A">
              <w:rPr>
                <w:rFonts w:ascii="Times New Roman" w:hAnsi="Times New Roman"/>
                <w:sz w:val="28"/>
                <w:szCs w:val="28"/>
              </w:rPr>
              <w:t>.</w:t>
            </w:r>
            <w:r w:rsidRPr="0055610F">
              <w:rPr>
                <w:rFonts w:ascii="Times New Roman" w:hAnsi="Times New Roman"/>
                <w:sz w:val="28"/>
                <w:szCs w:val="28"/>
              </w:rPr>
              <w:t xml:space="preserve"> </w:t>
            </w:r>
          </w:p>
        </w:tc>
        <w:tc>
          <w:tcPr>
            <w:tcW w:w="2552" w:type="dxa"/>
            <w:tcBorders>
              <w:top w:val="double" w:sz="4" w:space="0" w:color="000000"/>
              <w:left w:val="double" w:sz="4" w:space="0" w:color="000000"/>
              <w:bottom w:val="double" w:sz="4" w:space="0" w:color="000000"/>
              <w:right w:val="double" w:sz="4" w:space="0" w:color="000000"/>
            </w:tcBorders>
            <w:hideMark/>
          </w:tcPr>
          <w:p w14:paraId="606C6504" w14:textId="700D9FEE" w:rsidR="002B7D2A" w:rsidRPr="0055610F" w:rsidRDefault="002B7D2A" w:rsidP="002B7D2A">
            <w:pPr>
              <w:spacing w:line="256" w:lineRule="auto"/>
              <w:rPr>
                <w:rFonts w:ascii="Times New Roman" w:hAnsi="Times New Roman"/>
                <w:sz w:val="28"/>
                <w:szCs w:val="28"/>
              </w:rPr>
            </w:pPr>
            <w:r w:rsidRPr="0055610F">
              <w:rPr>
                <w:rFonts w:ascii="Times New Roman" w:hAnsi="Times New Roman"/>
                <w:sz w:val="28"/>
                <w:szCs w:val="28"/>
              </w:rPr>
              <w:t>Не передбачаються</w:t>
            </w:r>
          </w:p>
        </w:tc>
      </w:tr>
    </w:tbl>
    <w:p w14:paraId="06E3E9F6" w14:textId="77777777" w:rsidR="00EC259E" w:rsidRPr="00EC259E" w:rsidRDefault="00EC259E" w:rsidP="00EC259E">
      <w:pPr>
        <w:widowControl/>
        <w:spacing w:line="256" w:lineRule="auto"/>
        <w:ind w:left="68"/>
        <w:jc w:val="center"/>
        <w:rPr>
          <w:rFonts w:ascii="Times New Roman" w:eastAsia="Times New Roman" w:hAnsi="Times New Roman" w:cs="Times New Roman"/>
          <w:sz w:val="28"/>
          <w:szCs w:val="22"/>
          <w:lang w:bidi="ar-SA"/>
        </w:rPr>
      </w:pPr>
      <w:r w:rsidRPr="00EC259E">
        <w:rPr>
          <w:rFonts w:ascii="Times New Roman" w:eastAsia="Times New Roman" w:hAnsi="Times New Roman" w:cs="Times New Roman"/>
          <w:b/>
          <w:sz w:val="28"/>
          <w:szCs w:val="22"/>
          <w:lang w:bidi="ar-SA"/>
        </w:rPr>
        <w:t xml:space="preserve"> </w:t>
      </w:r>
    </w:p>
    <w:p w14:paraId="789303EA" w14:textId="77777777" w:rsidR="00EC259E" w:rsidRPr="00EC259E" w:rsidRDefault="00EC259E" w:rsidP="00472424">
      <w:pPr>
        <w:widowControl/>
        <w:numPr>
          <w:ilvl w:val="0"/>
          <w:numId w:val="23"/>
        </w:numPr>
        <w:tabs>
          <w:tab w:val="left" w:pos="993"/>
        </w:tabs>
        <w:spacing w:after="5" w:line="268" w:lineRule="auto"/>
        <w:ind w:left="0" w:right="4" w:firstLine="426"/>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b/>
          <w:sz w:val="28"/>
          <w:szCs w:val="22"/>
          <w:lang w:bidi="ar-SA"/>
        </w:rPr>
        <w:t>Вибір найбільш оптимального альтернативного способу</w:t>
      </w:r>
      <w:r w:rsidRPr="00EC259E">
        <w:rPr>
          <w:rFonts w:ascii="Times New Roman" w:eastAsia="Times New Roman" w:hAnsi="Times New Roman" w:cs="Times New Roman"/>
          <w:szCs w:val="22"/>
          <w:lang w:bidi="ar-SA"/>
        </w:rPr>
        <w:t xml:space="preserve"> </w:t>
      </w:r>
      <w:r w:rsidRPr="00EC259E">
        <w:rPr>
          <w:rFonts w:ascii="Times New Roman" w:eastAsia="Times New Roman" w:hAnsi="Times New Roman" w:cs="Times New Roman"/>
          <w:b/>
          <w:sz w:val="28"/>
          <w:szCs w:val="22"/>
          <w:lang w:bidi="ar-SA"/>
        </w:rPr>
        <w:t xml:space="preserve">досягнення цілей </w:t>
      </w:r>
    </w:p>
    <w:p w14:paraId="3B0A10C2" w14:textId="77777777" w:rsidR="00EC259E" w:rsidRPr="00EC259E" w:rsidRDefault="00EC259E" w:rsidP="00EC259E">
      <w:pPr>
        <w:widowControl/>
        <w:spacing w:line="256" w:lineRule="auto"/>
        <w:ind w:left="68"/>
        <w:jc w:val="center"/>
        <w:rPr>
          <w:rFonts w:ascii="Times New Roman" w:eastAsia="Times New Roman" w:hAnsi="Times New Roman" w:cs="Times New Roman"/>
          <w:sz w:val="28"/>
          <w:szCs w:val="22"/>
          <w:lang w:bidi="ar-SA"/>
        </w:rPr>
      </w:pPr>
      <w:r w:rsidRPr="00EC259E">
        <w:rPr>
          <w:rFonts w:ascii="Times New Roman" w:eastAsia="Times New Roman" w:hAnsi="Times New Roman" w:cs="Times New Roman"/>
          <w:b/>
          <w:sz w:val="28"/>
          <w:szCs w:val="22"/>
          <w:lang w:bidi="ar-SA"/>
        </w:rPr>
        <w:t xml:space="preserve"> </w:t>
      </w:r>
    </w:p>
    <w:tbl>
      <w:tblPr>
        <w:tblStyle w:val="TableGrid2"/>
        <w:tblW w:w="9698" w:type="dxa"/>
        <w:tblInd w:w="-58" w:type="dxa"/>
        <w:tblCellMar>
          <w:top w:w="24" w:type="dxa"/>
          <w:left w:w="58" w:type="dxa"/>
        </w:tblCellMar>
        <w:tblLook w:val="04A0" w:firstRow="1" w:lastRow="0" w:firstColumn="1" w:lastColumn="0" w:noHBand="0" w:noVBand="1"/>
      </w:tblPr>
      <w:tblGrid>
        <w:gridCol w:w="2184"/>
        <w:gridCol w:w="2106"/>
        <w:gridCol w:w="5408"/>
      </w:tblGrid>
      <w:tr w:rsidR="00EC259E" w:rsidRPr="00EC259E" w14:paraId="30F86AFD" w14:textId="77777777" w:rsidTr="00EC259E">
        <w:trPr>
          <w:trHeight w:val="1685"/>
        </w:trPr>
        <w:tc>
          <w:tcPr>
            <w:tcW w:w="2184" w:type="dxa"/>
            <w:tcBorders>
              <w:top w:val="double" w:sz="4" w:space="0" w:color="000000"/>
              <w:left w:val="double" w:sz="4" w:space="0" w:color="000000"/>
              <w:bottom w:val="double" w:sz="4" w:space="0" w:color="000000"/>
              <w:right w:val="double" w:sz="4" w:space="0" w:color="000000"/>
            </w:tcBorders>
            <w:vAlign w:val="center"/>
            <w:hideMark/>
          </w:tcPr>
          <w:p w14:paraId="0C31B9EC" w14:textId="77777777" w:rsidR="00EC259E" w:rsidRPr="00147470" w:rsidRDefault="00EC259E" w:rsidP="00EC259E">
            <w:pPr>
              <w:spacing w:line="256" w:lineRule="auto"/>
              <w:ind w:firstLine="79"/>
              <w:jc w:val="center"/>
              <w:rPr>
                <w:rFonts w:ascii="Times New Roman" w:hAnsi="Times New Roman"/>
                <w:sz w:val="28"/>
                <w:szCs w:val="28"/>
              </w:rPr>
            </w:pPr>
            <w:r w:rsidRPr="00147470">
              <w:rPr>
                <w:rFonts w:ascii="Times New Roman" w:hAnsi="Times New Roman"/>
                <w:sz w:val="28"/>
                <w:szCs w:val="28"/>
              </w:rPr>
              <w:t xml:space="preserve">Рейтинг результативності (досягнення цілей під час вирішення проблеми) </w:t>
            </w:r>
          </w:p>
        </w:tc>
        <w:tc>
          <w:tcPr>
            <w:tcW w:w="1923" w:type="dxa"/>
            <w:tcBorders>
              <w:top w:val="double" w:sz="4" w:space="0" w:color="000000"/>
              <w:left w:val="double" w:sz="4" w:space="0" w:color="000000"/>
              <w:bottom w:val="double" w:sz="4" w:space="0" w:color="000000"/>
              <w:right w:val="double" w:sz="4" w:space="0" w:color="000000"/>
            </w:tcBorders>
            <w:hideMark/>
          </w:tcPr>
          <w:p w14:paraId="6AB6453C" w14:textId="77777777" w:rsidR="00EC259E" w:rsidRPr="00147470" w:rsidRDefault="00EC259E" w:rsidP="00EC259E">
            <w:pPr>
              <w:spacing w:line="237" w:lineRule="auto"/>
              <w:jc w:val="center"/>
              <w:rPr>
                <w:rFonts w:ascii="Times New Roman" w:hAnsi="Times New Roman"/>
                <w:sz w:val="28"/>
                <w:szCs w:val="28"/>
              </w:rPr>
            </w:pPr>
            <w:r w:rsidRPr="00147470">
              <w:rPr>
                <w:rFonts w:ascii="Times New Roman" w:hAnsi="Times New Roman"/>
                <w:sz w:val="28"/>
                <w:szCs w:val="28"/>
              </w:rPr>
              <w:t xml:space="preserve">Бал результативності </w:t>
            </w:r>
          </w:p>
          <w:p w14:paraId="6D8AF8F8" w14:textId="77777777" w:rsidR="00EC259E" w:rsidRPr="00147470" w:rsidRDefault="00EC259E" w:rsidP="00EC259E">
            <w:pPr>
              <w:spacing w:line="256" w:lineRule="auto"/>
              <w:ind w:right="57"/>
              <w:jc w:val="center"/>
              <w:rPr>
                <w:rFonts w:ascii="Times New Roman" w:hAnsi="Times New Roman"/>
                <w:sz w:val="28"/>
                <w:szCs w:val="28"/>
              </w:rPr>
            </w:pPr>
            <w:r w:rsidRPr="00147470">
              <w:rPr>
                <w:rFonts w:ascii="Times New Roman" w:hAnsi="Times New Roman"/>
                <w:sz w:val="28"/>
                <w:szCs w:val="28"/>
              </w:rPr>
              <w:t xml:space="preserve">(за </w:t>
            </w:r>
          </w:p>
          <w:p w14:paraId="077E2AB3" w14:textId="77777777" w:rsidR="00EC259E" w:rsidRPr="00147470" w:rsidRDefault="00EC259E" w:rsidP="00EC259E">
            <w:pPr>
              <w:spacing w:line="256" w:lineRule="auto"/>
              <w:ind w:left="40" w:right="16" w:hanging="24"/>
              <w:jc w:val="center"/>
              <w:rPr>
                <w:rFonts w:ascii="Times New Roman" w:hAnsi="Times New Roman"/>
                <w:sz w:val="28"/>
                <w:szCs w:val="28"/>
              </w:rPr>
            </w:pPr>
            <w:r w:rsidRPr="00147470">
              <w:rPr>
                <w:rFonts w:ascii="Times New Roman" w:hAnsi="Times New Roman"/>
                <w:sz w:val="28"/>
                <w:szCs w:val="28"/>
              </w:rPr>
              <w:t xml:space="preserve">чотирибальною системою оцінки) </w:t>
            </w:r>
          </w:p>
        </w:tc>
        <w:tc>
          <w:tcPr>
            <w:tcW w:w="5591" w:type="dxa"/>
            <w:tcBorders>
              <w:top w:val="double" w:sz="4" w:space="0" w:color="000000"/>
              <w:left w:val="double" w:sz="4" w:space="0" w:color="000000"/>
              <w:bottom w:val="double" w:sz="4" w:space="0" w:color="000000"/>
              <w:right w:val="double" w:sz="4" w:space="0" w:color="000000"/>
            </w:tcBorders>
            <w:vAlign w:val="center"/>
            <w:hideMark/>
          </w:tcPr>
          <w:p w14:paraId="0E38B806" w14:textId="77777777" w:rsidR="00EC259E" w:rsidRPr="00147470" w:rsidRDefault="00EC259E" w:rsidP="00EC259E">
            <w:pPr>
              <w:spacing w:line="256" w:lineRule="auto"/>
              <w:ind w:right="58"/>
              <w:jc w:val="center"/>
              <w:rPr>
                <w:rFonts w:ascii="Times New Roman" w:hAnsi="Times New Roman"/>
                <w:sz w:val="28"/>
                <w:szCs w:val="28"/>
              </w:rPr>
            </w:pPr>
            <w:r w:rsidRPr="00147470">
              <w:rPr>
                <w:rFonts w:ascii="Times New Roman" w:hAnsi="Times New Roman"/>
                <w:sz w:val="28"/>
                <w:szCs w:val="28"/>
              </w:rPr>
              <w:t xml:space="preserve">Коментарі щодо присвоєння відповідного балу </w:t>
            </w:r>
          </w:p>
        </w:tc>
      </w:tr>
      <w:tr w:rsidR="00EC259E" w:rsidRPr="00EC259E" w14:paraId="0BF8D118" w14:textId="77777777" w:rsidTr="00720064">
        <w:trPr>
          <w:trHeight w:val="689"/>
        </w:trPr>
        <w:tc>
          <w:tcPr>
            <w:tcW w:w="2184" w:type="dxa"/>
            <w:tcBorders>
              <w:top w:val="double" w:sz="4" w:space="0" w:color="000000"/>
              <w:left w:val="double" w:sz="4" w:space="0" w:color="000000"/>
              <w:bottom w:val="double" w:sz="4" w:space="0" w:color="000000"/>
              <w:right w:val="double" w:sz="4" w:space="0" w:color="000000"/>
            </w:tcBorders>
            <w:hideMark/>
          </w:tcPr>
          <w:p w14:paraId="452D3737" w14:textId="77777777" w:rsidR="00EC259E" w:rsidRPr="00147470" w:rsidRDefault="00EC259E" w:rsidP="00EC259E">
            <w:pPr>
              <w:spacing w:line="256" w:lineRule="auto"/>
              <w:ind w:right="463"/>
              <w:rPr>
                <w:rFonts w:ascii="Times New Roman" w:hAnsi="Times New Roman"/>
                <w:sz w:val="28"/>
                <w:szCs w:val="28"/>
              </w:rPr>
            </w:pPr>
            <w:r w:rsidRPr="00147470">
              <w:rPr>
                <w:rFonts w:ascii="Times New Roman" w:hAnsi="Times New Roman"/>
                <w:sz w:val="28"/>
                <w:szCs w:val="28"/>
              </w:rPr>
              <w:t xml:space="preserve">Альтернатива 1  </w:t>
            </w:r>
          </w:p>
        </w:tc>
        <w:tc>
          <w:tcPr>
            <w:tcW w:w="1923" w:type="dxa"/>
            <w:tcBorders>
              <w:top w:val="double" w:sz="4" w:space="0" w:color="000000"/>
              <w:left w:val="double" w:sz="4" w:space="0" w:color="000000"/>
              <w:bottom w:val="double" w:sz="4" w:space="0" w:color="000000"/>
              <w:right w:val="double" w:sz="4" w:space="0" w:color="000000"/>
            </w:tcBorders>
            <w:hideMark/>
          </w:tcPr>
          <w:p w14:paraId="72AC0182" w14:textId="77777777" w:rsidR="00EC259E" w:rsidRPr="00147470" w:rsidRDefault="00EC259E" w:rsidP="00EC259E">
            <w:pPr>
              <w:spacing w:line="256" w:lineRule="auto"/>
              <w:ind w:right="59"/>
              <w:jc w:val="center"/>
              <w:rPr>
                <w:rFonts w:ascii="Times New Roman" w:hAnsi="Times New Roman"/>
                <w:sz w:val="28"/>
                <w:szCs w:val="28"/>
              </w:rPr>
            </w:pPr>
            <w:r w:rsidRPr="00147470">
              <w:rPr>
                <w:rFonts w:ascii="Times New Roman" w:hAnsi="Times New Roman"/>
                <w:sz w:val="28"/>
                <w:szCs w:val="28"/>
              </w:rPr>
              <w:t xml:space="preserve">1 </w:t>
            </w:r>
          </w:p>
        </w:tc>
        <w:tc>
          <w:tcPr>
            <w:tcW w:w="5591" w:type="dxa"/>
            <w:tcBorders>
              <w:top w:val="double" w:sz="4" w:space="0" w:color="000000"/>
              <w:left w:val="double" w:sz="4" w:space="0" w:color="000000"/>
              <w:bottom w:val="double" w:sz="4" w:space="0" w:color="000000"/>
              <w:right w:val="double" w:sz="4" w:space="0" w:color="000000"/>
            </w:tcBorders>
            <w:hideMark/>
          </w:tcPr>
          <w:p w14:paraId="4BC2D1D6" w14:textId="35453A3C" w:rsidR="00EC259E" w:rsidRPr="00EB56C8" w:rsidRDefault="00EC259E" w:rsidP="00EC259E">
            <w:pPr>
              <w:spacing w:line="256" w:lineRule="auto"/>
              <w:ind w:right="59"/>
              <w:jc w:val="both"/>
              <w:rPr>
                <w:rFonts w:ascii="Times New Roman" w:hAnsi="Times New Roman"/>
                <w:sz w:val="28"/>
                <w:szCs w:val="28"/>
              </w:rPr>
            </w:pPr>
            <w:r w:rsidRPr="00EB56C8">
              <w:rPr>
                <w:rFonts w:ascii="Times New Roman" w:hAnsi="Times New Roman"/>
                <w:sz w:val="28"/>
                <w:szCs w:val="28"/>
              </w:rPr>
              <w:t>Збереження чинного регулювання не дає змоги досягнути мети регулювання</w:t>
            </w:r>
            <w:r w:rsidR="00147470" w:rsidRPr="00EB56C8">
              <w:rPr>
                <w:rFonts w:ascii="Times New Roman" w:hAnsi="Times New Roman"/>
                <w:sz w:val="28"/>
                <w:szCs w:val="28"/>
              </w:rPr>
              <w:t>.</w:t>
            </w:r>
            <w:r w:rsidRPr="00EB56C8">
              <w:rPr>
                <w:rFonts w:ascii="Times New Roman" w:hAnsi="Times New Roman"/>
                <w:sz w:val="28"/>
                <w:szCs w:val="28"/>
              </w:rPr>
              <w:t xml:space="preserve"> </w:t>
            </w:r>
          </w:p>
        </w:tc>
      </w:tr>
      <w:tr w:rsidR="00720064" w:rsidRPr="00EC259E" w14:paraId="4E745B4A" w14:textId="77777777" w:rsidTr="00EC259E">
        <w:trPr>
          <w:trHeight w:val="859"/>
        </w:trPr>
        <w:tc>
          <w:tcPr>
            <w:tcW w:w="2184" w:type="dxa"/>
            <w:tcBorders>
              <w:top w:val="double" w:sz="4" w:space="0" w:color="000000"/>
              <w:left w:val="double" w:sz="4" w:space="0" w:color="000000"/>
              <w:bottom w:val="double" w:sz="4" w:space="0" w:color="000000"/>
              <w:right w:val="double" w:sz="4" w:space="0" w:color="000000"/>
            </w:tcBorders>
          </w:tcPr>
          <w:p w14:paraId="6066F649" w14:textId="77777777" w:rsidR="00720064" w:rsidRPr="00147470" w:rsidRDefault="00720064" w:rsidP="00720064">
            <w:pPr>
              <w:spacing w:line="254" w:lineRule="auto"/>
              <w:rPr>
                <w:rFonts w:ascii="Times New Roman" w:hAnsi="Times New Roman"/>
                <w:sz w:val="28"/>
                <w:szCs w:val="28"/>
              </w:rPr>
            </w:pPr>
            <w:r w:rsidRPr="00147470">
              <w:rPr>
                <w:rFonts w:ascii="Times New Roman" w:hAnsi="Times New Roman"/>
                <w:sz w:val="28"/>
                <w:szCs w:val="28"/>
              </w:rPr>
              <w:t xml:space="preserve">Альтернатива 2 </w:t>
            </w:r>
          </w:p>
          <w:p w14:paraId="38FC6993" w14:textId="77777777" w:rsidR="00720064" w:rsidRPr="00147470" w:rsidRDefault="00720064" w:rsidP="00EC259E">
            <w:pPr>
              <w:spacing w:line="256" w:lineRule="auto"/>
              <w:ind w:right="463"/>
              <w:rPr>
                <w:rFonts w:ascii="Times New Roman" w:hAnsi="Times New Roman"/>
                <w:sz w:val="28"/>
                <w:szCs w:val="28"/>
              </w:rPr>
            </w:pPr>
          </w:p>
        </w:tc>
        <w:tc>
          <w:tcPr>
            <w:tcW w:w="1923" w:type="dxa"/>
            <w:tcBorders>
              <w:top w:val="double" w:sz="4" w:space="0" w:color="000000"/>
              <w:left w:val="double" w:sz="4" w:space="0" w:color="000000"/>
              <w:bottom w:val="double" w:sz="4" w:space="0" w:color="000000"/>
              <w:right w:val="double" w:sz="4" w:space="0" w:color="000000"/>
            </w:tcBorders>
          </w:tcPr>
          <w:p w14:paraId="466B092A" w14:textId="0C32F34F" w:rsidR="00720064" w:rsidRPr="00147470" w:rsidRDefault="00720064" w:rsidP="00EC259E">
            <w:pPr>
              <w:spacing w:line="256" w:lineRule="auto"/>
              <w:ind w:right="59"/>
              <w:jc w:val="center"/>
              <w:rPr>
                <w:rFonts w:ascii="Times New Roman" w:hAnsi="Times New Roman"/>
                <w:sz w:val="28"/>
                <w:szCs w:val="28"/>
              </w:rPr>
            </w:pPr>
            <w:r w:rsidRPr="00147470">
              <w:rPr>
                <w:rFonts w:ascii="Times New Roman" w:hAnsi="Times New Roman"/>
                <w:sz w:val="28"/>
                <w:szCs w:val="28"/>
              </w:rPr>
              <w:t>1</w:t>
            </w:r>
          </w:p>
        </w:tc>
        <w:tc>
          <w:tcPr>
            <w:tcW w:w="5591" w:type="dxa"/>
            <w:tcBorders>
              <w:top w:val="double" w:sz="4" w:space="0" w:color="000000"/>
              <w:left w:val="double" w:sz="4" w:space="0" w:color="000000"/>
              <w:bottom w:val="double" w:sz="4" w:space="0" w:color="000000"/>
              <w:right w:val="double" w:sz="4" w:space="0" w:color="000000"/>
            </w:tcBorders>
          </w:tcPr>
          <w:p w14:paraId="134B6528" w14:textId="38E7518E" w:rsidR="00720064" w:rsidRPr="00EB56C8" w:rsidRDefault="00EB56C8" w:rsidP="00EC259E">
            <w:pPr>
              <w:spacing w:line="256" w:lineRule="auto"/>
              <w:ind w:right="59"/>
              <w:jc w:val="both"/>
              <w:rPr>
                <w:rFonts w:ascii="Times New Roman" w:hAnsi="Times New Roman"/>
                <w:sz w:val="28"/>
                <w:szCs w:val="28"/>
              </w:rPr>
            </w:pPr>
            <w:r w:rsidRPr="00EB56C8">
              <w:rPr>
                <w:rFonts w:ascii="Times New Roman" w:hAnsi="Times New Roman"/>
                <w:sz w:val="28"/>
                <w:szCs w:val="28"/>
              </w:rPr>
              <w:t>Проблема продовжує існувати.</w:t>
            </w:r>
          </w:p>
        </w:tc>
      </w:tr>
      <w:tr w:rsidR="00EC259E" w:rsidRPr="009477E7" w14:paraId="741DC04D" w14:textId="77777777" w:rsidTr="00EC259E">
        <w:trPr>
          <w:trHeight w:val="1411"/>
        </w:trPr>
        <w:tc>
          <w:tcPr>
            <w:tcW w:w="2184" w:type="dxa"/>
            <w:tcBorders>
              <w:top w:val="double" w:sz="4" w:space="0" w:color="000000"/>
              <w:left w:val="double" w:sz="4" w:space="0" w:color="000000"/>
              <w:bottom w:val="double" w:sz="4" w:space="0" w:color="000000"/>
              <w:right w:val="double" w:sz="4" w:space="0" w:color="000000"/>
            </w:tcBorders>
            <w:hideMark/>
          </w:tcPr>
          <w:p w14:paraId="637A2ABB" w14:textId="07A62701" w:rsidR="00EC259E" w:rsidRPr="00147470" w:rsidRDefault="00EC259E" w:rsidP="00EC259E">
            <w:pPr>
              <w:spacing w:line="256" w:lineRule="auto"/>
              <w:rPr>
                <w:rFonts w:ascii="Times New Roman" w:hAnsi="Times New Roman"/>
                <w:sz w:val="28"/>
                <w:szCs w:val="28"/>
              </w:rPr>
            </w:pPr>
            <w:r w:rsidRPr="00147470">
              <w:rPr>
                <w:rFonts w:ascii="Times New Roman" w:hAnsi="Times New Roman"/>
                <w:sz w:val="28"/>
                <w:szCs w:val="28"/>
              </w:rPr>
              <w:t xml:space="preserve">Альтернатива </w:t>
            </w:r>
            <w:r w:rsidR="00720064" w:rsidRPr="00147470">
              <w:rPr>
                <w:rFonts w:ascii="Times New Roman" w:hAnsi="Times New Roman"/>
                <w:sz w:val="28"/>
                <w:szCs w:val="28"/>
              </w:rPr>
              <w:t>3</w:t>
            </w:r>
            <w:r w:rsidRPr="00147470">
              <w:rPr>
                <w:rFonts w:ascii="Times New Roman" w:hAnsi="Times New Roman"/>
                <w:sz w:val="28"/>
                <w:szCs w:val="28"/>
              </w:rPr>
              <w:t xml:space="preserve"> </w:t>
            </w:r>
          </w:p>
          <w:p w14:paraId="60C63DCB" w14:textId="77777777" w:rsidR="00EC259E" w:rsidRPr="00147470" w:rsidRDefault="00EC259E" w:rsidP="00EC259E">
            <w:pPr>
              <w:spacing w:line="256" w:lineRule="auto"/>
              <w:rPr>
                <w:rFonts w:ascii="Times New Roman" w:hAnsi="Times New Roman"/>
                <w:sz w:val="28"/>
                <w:szCs w:val="28"/>
              </w:rPr>
            </w:pPr>
            <w:r w:rsidRPr="00147470">
              <w:rPr>
                <w:rFonts w:ascii="Times New Roman" w:hAnsi="Times New Roman"/>
                <w:sz w:val="28"/>
                <w:szCs w:val="28"/>
              </w:rPr>
              <w:t xml:space="preserve"> </w:t>
            </w:r>
          </w:p>
        </w:tc>
        <w:tc>
          <w:tcPr>
            <w:tcW w:w="1923" w:type="dxa"/>
            <w:tcBorders>
              <w:top w:val="double" w:sz="4" w:space="0" w:color="000000"/>
              <w:left w:val="double" w:sz="4" w:space="0" w:color="000000"/>
              <w:bottom w:val="double" w:sz="4" w:space="0" w:color="000000"/>
              <w:right w:val="double" w:sz="4" w:space="0" w:color="000000"/>
            </w:tcBorders>
            <w:hideMark/>
          </w:tcPr>
          <w:p w14:paraId="303D8A3C" w14:textId="77777777" w:rsidR="00EC259E" w:rsidRPr="00147470" w:rsidRDefault="00EC259E" w:rsidP="00EC259E">
            <w:pPr>
              <w:spacing w:line="256" w:lineRule="auto"/>
              <w:ind w:right="59"/>
              <w:jc w:val="center"/>
              <w:rPr>
                <w:rFonts w:ascii="Times New Roman" w:hAnsi="Times New Roman"/>
                <w:sz w:val="28"/>
                <w:szCs w:val="28"/>
              </w:rPr>
            </w:pPr>
            <w:r w:rsidRPr="00147470">
              <w:rPr>
                <w:rFonts w:ascii="Times New Roman" w:hAnsi="Times New Roman"/>
                <w:sz w:val="28"/>
                <w:szCs w:val="28"/>
              </w:rPr>
              <w:t xml:space="preserve">4 </w:t>
            </w:r>
          </w:p>
        </w:tc>
        <w:tc>
          <w:tcPr>
            <w:tcW w:w="5591" w:type="dxa"/>
            <w:tcBorders>
              <w:top w:val="double" w:sz="4" w:space="0" w:color="000000"/>
              <w:left w:val="double" w:sz="4" w:space="0" w:color="000000"/>
              <w:bottom w:val="double" w:sz="4" w:space="0" w:color="000000"/>
              <w:right w:val="double" w:sz="4" w:space="0" w:color="000000"/>
            </w:tcBorders>
            <w:hideMark/>
          </w:tcPr>
          <w:p w14:paraId="43ECF271" w14:textId="307923B1" w:rsidR="00EC259E" w:rsidRPr="00147470" w:rsidRDefault="00EB56C8" w:rsidP="00EC259E">
            <w:pPr>
              <w:spacing w:line="256" w:lineRule="auto"/>
              <w:ind w:right="54"/>
              <w:jc w:val="both"/>
              <w:rPr>
                <w:rFonts w:ascii="Times New Roman" w:hAnsi="Times New Roman"/>
                <w:sz w:val="28"/>
                <w:szCs w:val="28"/>
              </w:rPr>
            </w:pPr>
            <w:r w:rsidRPr="00EB56C8">
              <w:rPr>
                <w:rFonts w:ascii="Times New Roman" w:hAnsi="Times New Roman"/>
                <w:sz w:val="28"/>
                <w:szCs w:val="28"/>
              </w:rPr>
              <w:t xml:space="preserve">Цілі прийняття регуляторного </w:t>
            </w:r>
            <w:proofErr w:type="spellStart"/>
            <w:r w:rsidRPr="00EB56C8">
              <w:rPr>
                <w:rFonts w:ascii="Times New Roman" w:hAnsi="Times New Roman"/>
                <w:sz w:val="28"/>
                <w:szCs w:val="28"/>
              </w:rPr>
              <w:t>акта</w:t>
            </w:r>
            <w:proofErr w:type="spellEnd"/>
            <w:r w:rsidRPr="00EB56C8">
              <w:rPr>
                <w:rFonts w:ascii="Times New Roman" w:hAnsi="Times New Roman"/>
                <w:sz w:val="28"/>
                <w:szCs w:val="28"/>
              </w:rPr>
              <w:t xml:space="preserve"> можуть бути досягнуті  повною мірою</w:t>
            </w:r>
            <w:r w:rsidRPr="00147470">
              <w:rPr>
                <w:rFonts w:ascii="Times New Roman" w:hAnsi="Times New Roman"/>
                <w:sz w:val="28"/>
                <w:szCs w:val="28"/>
              </w:rPr>
              <w:t xml:space="preserve"> </w:t>
            </w:r>
            <w:r>
              <w:rPr>
                <w:rFonts w:ascii="Times New Roman" w:hAnsi="Times New Roman"/>
                <w:sz w:val="28"/>
                <w:szCs w:val="28"/>
              </w:rPr>
              <w:t xml:space="preserve"> та є</w:t>
            </w:r>
            <w:r w:rsidR="00EC259E" w:rsidRPr="00147470">
              <w:rPr>
                <w:rFonts w:ascii="Times New Roman" w:hAnsi="Times New Roman"/>
                <w:sz w:val="28"/>
                <w:szCs w:val="28"/>
              </w:rPr>
              <w:t xml:space="preserve"> найбільш прийнятним та ефективним способом, який дозволить досягти мети регулювання</w:t>
            </w:r>
            <w:r w:rsidR="009477E7">
              <w:rPr>
                <w:rFonts w:ascii="Times New Roman" w:hAnsi="Times New Roman"/>
                <w:sz w:val="28"/>
                <w:szCs w:val="28"/>
              </w:rPr>
              <w:t xml:space="preserve">, </w:t>
            </w:r>
            <w:r w:rsidR="009477E7" w:rsidRPr="009477E7">
              <w:rPr>
                <w:rFonts w:ascii="Times New Roman" w:hAnsi="Times New Roman"/>
                <w:sz w:val="28"/>
                <w:szCs w:val="28"/>
              </w:rPr>
              <w:t>забезпечити у регуляторній діяльності балансу інтересів суб’єктів господарювання, громадян та громади</w:t>
            </w:r>
          </w:p>
        </w:tc>
      </w:tr>
    </w:tbl>
    <w:p w14:paraId="34672F5A" w14:textId="2051C806" w:rsidR="00EC259E" w:rsidRDefault="00EC259E" w:rsidP="00EC259E">
      <w:pPr>
        <w:widowControl/>
        <w:spacing w:after="30" w:line="256" w:lineRule="auto"/>
        <w:ind w:left="68"/>
        <w:jc w:val="center"/>
        <w:rPr>
          <w:rFonts w:ascii="Times New Roman" w:eastAsia="Times New Roman" w:hAnsi="Times New Roman" w:cs="Times New Roman"/>
          <w:sz w:val="28"/>
          <w:szCs w:val="28"/>
          <w:lang w:bidi="ar-SA"/>
        </w:rPr>
      </w:pPr>
      <w:r w:rsidRPr="009477E7">
        <w:rPr>
          <w:rFonts w:ascii="Times New Roman" w:eastAsia="Times New Roman" w:hAnsi="Times New Roman" w:cs="Times New Roman"/>
          <w:sz w:val="28"/>
          <w:szCs w:val="28"/>
          <w:lang w:bidi="ar-SA"/>
        </w:rPr>
        <w:t xml:space="preserve"> </w:t>
      </w:r>
    </w:p>
    <w:p w14:paraId="7C735283" w14:textId="77777777" w:rsidR="00267058" w:rsidRPr="009477E7" w:rsidRDefault="00267058" w:rsidP="00EC259E">
      <w:pPr>
        <w:widowControl/>
        <w:spacing w:after="30" w:line="256" w:lineRule="auto"/>
        <w:ind w:left="68"/>
        <w:jc w:val="center"/>
        <w:rPr>
          <w:rFonts w:ascii="Times New Roman" w:eastAsia="Times New Roman" w:hAnsi="Times New Roman" w:cs="Times New Roman"/>
          <w:sz w:val="28"/>
          <w:szCs w:val="28"/>
          <w:lang w:bidi="ar-SA"/>
        </w:rPr>
      </w:pPr>
    </w:p>
    <w:p w14:paraId="103CCC77" w14:textId="77777777" w:rsidR="00472424" w:rsidRPr="00472424" w:rsidRDefault="00EC259E" w:rsidP="00472424">
      <w:pPr>
        <w:widowControl/>
        <w:numPr>
          <w:ilvl w:val="0"/>
          <w:numId w:val="23"/>
        </w:numPr>
        <w:spacing w:after="5" w:line="268" w:lineRule="auto"/>
        <w:ind w:left="0" w:right="4" w:firstLine="283"/>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b/>
          <w:sz w:val="28"/>
          <w:szCs w:val="22"/>
          <w:lang w:bidi="ar-SA"/>
        </w:rPr>
        <w:t>Механізми та заходи, які забезпечать розв'язання визначеної проблеми</w:t>
      </w:r>
    </w:p>
    <w:p w14:paraId="3ECECE38" w14:textId="43674D66" w:rsidR="00EC259E" w:rsidRPr="00EC259E" w:rsidRDefault="00EC259E" w:rsidP="00472424">
      <w:pPr>
        <w:widowControl/>
        <w:spacing w:after="5" w:line="268" w:lineRule="auto"/>
        <w:ind w:left="283" w:right="4"/>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b/>
          <w:sz w:val="28"/>
          <w:szCs w:val="22"/>
          <w:lang w:bidi="ar-SA"/>
        </w:rPr>
        <w:t xml:space="preserve"> </w:t>
      </w:r>
      <w:r w:rsidRPr="00EC259E">
        <w:rPr>
          <w:rFonts w:ascii="Times New Roman" w:eastAsia="Times New Roman" w:hAnsi="Times New Roman" w:cs="Times New Roman"/>
          <w:sz w:val="28"/>
          <w:szCs w:val="22"/>
          <w:lang w:bidi="ar-SA"/>
        </w:rPr>
        <w:t xml:space="preserve">1. Механізм дії регуляторного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w:t>
      </w:r>
    </w:p>
    <w:p w14:paraId="1ECA17C8" w14:textId="0ABC51B8" w:rsidR="00EC259E" w:rsidRPr="00EC259E" w:rsidRDefault="00EC259E" w:rsidP="00EC259E">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Відповідно до Закону передача </w:t>
      </w:r>
      <w:r w:rsidR="00A17C07">
        <w:rPr>
          <w:rFonts w:ascii="Times New Roman" w:eastAsia="Times New Roman" w:hAnsi="Times New Roman" w:cs="Times New Roman"/>
          <w:sz w:val="28"/>
          <w:szCs w:val="22"/>
          <w:lang w:bidi="ar-SA"/>
        </w:rPr>
        <w:t>комунального</w:t>
      </w:r>
      <w:r w:rsidRPr="00EC259E">
        <w:rPr>
          <w:rFonts w:ascii="Times New Roman" w:eastAsia="Times New Roman" w:hAnsi="Times New Roman" w:cs="Times New Roman"/>
          <w:sz w:val="28"/>
          <w:szCs w:val="22"/>
          <w:lang w:bidi="ar-SA"/>
        </w:rPr>
        <w:t xml:space="preserve"> майна в оренду відбувається на аукціоні. При цьому статтею 15 Закону передбачені виключення з цього загального принципу – певні категорії орендарів мають право на укладення договору оренди без аукціону. Як наслідок, розмір орендної плати формується не на основі ринкового попиту, а відповідно до </w:t>
      </w:r>
      <w:r w:rsidR="009477E7">
        <w:rPr>
          <w:rFonts w:ascii="Times New Roman" w:eastAsia="Times New Roman" w:hAnsi="Times New Roman" w:cs="Times New Roman"/>
          <w:sz w:val="28"/>
          <w:szCs w:val="22"/>
          <w:lang w:bidi="ar-SA"/>
        </w:rPr>
        <w:t>регуляторного акту</w:t>
      </w:r>
      <w:r w:rsidRPr="00EC259E">
        <w:rPr>
          <w:rFonts w:ascii="Times New Roman" w:eastAsia="Times New Roman" w:hAnsi="Times New Roman" w:cs="Times New Roman"/>
          <w:sz w:val="28"/>
          <w:szCs w:val="22"/>
          <w:lang w:bidi="ar-SA"/>
        </w:rPr>
        <w:t xml:space="preserve">. </w:t>
      </w:r>
    </w:p>
    <w:p w14:paraId="5AA9F387" w14:textId="43E9F03E" w:rsidR="00EC259E" w:rsidRPr="00EC259E" w:rsidRDefault="00EC259E" w:rsidP="00EC259E">
      <w:pPr>
        <w:widowControl/>
        <w:spacing w:after="15" w:line="266" w:lineRule="auto"/>
        <w:ind w:left="-15" w:firstLine="710"/>
        <w:jc w:val="both"/>
        <w:rPr>
          <w:rFonts w:ascii="Times New Roman" w:eastAsia="Times New Roman" w:hAnsi="Times New Roman" w:cs="Times New Roman"/>
          <w:sz w:val="28"/>
          <w:szCs w:val="22"/>
          <w:lang w:bidi="ar-SA"/>
        </w:rPr>
      </w:pPr>
      <w:proofErr w:type="spellStart"/>
      <w:r w:rsidRPr="00EC259E">
        <w:rPr>
          <w:rFonts w:ascii="Times New Roman" w:eastAsia="Times New Roman" w:hAnsi="Times New Roman" w:cs="Times New Roman"/>
          <w:sz w:val="28"/>
          <w:szCs w:val="22"/>
          <w:lang w:bidi="ar-SA"/>
        </w:rPr>
        <w:t>Про</w:t>
      </w:r>
      <w:r w:rsidR="00A17C07">
        <w:rPr>
          <w:rFonts w:ascii="Times New Roman" w:eastAsia="Times New Roman" w:hAnsi="Times New Roman" w:cs="Times New Roman"/>
          <w:sz w:val="28"/>
          <w:szCs w:val="22"/>
          <w:lang w:bidi="ar-SA"/>
        </w:rPr>
        <w:t>є</w:t>
      </w:r>
      <w:r w:rsidRPr="00EC259E">
        <w:rPr>
          <w:rFonts w:ascii="Times New Roman" w:eastAsia="Times New Roman" w:hAnsi="Times New Roman" w:cs="Times New Roman"/>
          <w:sz w:val="28"/>
          <w:szCs w:val="22"/>
          <w:lang w:bidi="ar-SA"/>
        </w:rPr>
        <w:t>ктом</w:t>
      </w:r>
      <w:proofErr w:type="spellEnd"/>
      <w:r w:rsidRPr="00EC259E">
        <w:rPr>
          <w:rFonts w:ascii="Times New Roman" w:eastAsia="Times New Roman" w:hAnsi="Times New Roman" w:cs="Times New Roman"/>
          <w:sz w:val="28"/>
          <w:szCs w:val="22"/>
          <w:lang w:bidi="ar-SA"/>
        </w:rPr>
        <w:t xml:space="preserve"> </w:t>
      </w:r>
      <w:r w:rsidR="00A81310">
        <w:rPr>
          <w:rFonts w:ascii="Times New Roman" w:eastAsia="Times New Roman" w:hAnsi="Times New Roman" w:cs="Times New Roman"/>
          <w:sz w:val="28"/>
          <w:szCs w:val="22"/>
          <w:lang w:bidi="ar-SA"/>
        </w:rPr>
        <w:t>Методики</w:t>
      </w:r>
      <w:r w:rsidRPr="00EC259E">
        <w:rPr>
          <w:rFonts w:ascii="Times New Roman" w:eastAsia="Times New Roman" w:hAnsi="Times New Roman" w:cs="Times New Roman"/>
          <w:sz w:val="28"/>
          <w:szCs w:val="22"/>
          <w:lang w:bidi="ar-SA"/>
        </w:rPr>
        <w:t xml:space="preserve"> пропонується перевірений практикою механізм розрахунку орендної плати на основі незалежної оцінки та розміру орендної ставки (в залежності від мети використання/орендаря). </w:t>
      </w:r>
      <w:r w:rsidR="00083017">
        <w:rPr>
          <w:rFonts w:ascii="Times New Roman" w:eastAsia="Times New Roman" w:hAnsi="Times New Roman" w:cs="Times New Roman"/>
          <w:sz w:val="28"/>
          <w:szCs w:val="22"/>
          <w:lang w:bidi="ar-SA"/>
        </w:rPr>
        <w:t>Т</w:t>
      </w:r>
      <w:r w:rsidRPr="00EC259E">
        <w:rPr>
          <w:rFonts w:ascii="Times New Roman" w:eastAsia="Times New Roman" w:hAnsi="Times New Roman" w:cs="Times New Roman"/>
          <w:sz w:val="28"/>
          <w:szCs w:val="22"/>
          <w:lang w:bidi="ar-SA"/>
        </w:rPr>
        <w:t>аким орендарям</w:t>
      </w:r>
      <w:r w:rsidR="0017308A">
        <w:rPr>
          <w:rFonts w:ascii="Times New Roman" w:eastAsia="Times New Roman" w:hAnsi="Times New Roman" w:cs="Times New Roman"/>
          <w:sz w:val="28"/>
          <w:szCs w:val="22"/>
          <w:lang w:bidi="ar-SA"/>
        </w:rPr>
        <w:t>,</w:t>
      </w:r>
      <w:r w:rsidRPr="00EC259E">
        <w:rPr>
          <w:rFonts w:ascii="Times New Roman" w:eastAsia="Times New Roman" w:hAnsi="Times New Roman" w:cs="Times New Roman"/>
          <w:sz w:val="28"/>
          <w:szCs w:val="22"/>
          <w:lang w:bidi="ar-SA"/>
        </w:rPr>
        <w:t xml:space="preserve"> як </w:t>
      </w:r>
      <w:r w:rsidRPr="00A81310">
        <w:rPr>
          <w:rFonts w:ascii="Times New Roman" w:eastAsia="Times New Roman" w:hAnsi="Times New Roman" w:cs="Times New Roman"/>
          <w:sz w:val="28"/>
          <w:szCs w:val="22"/>
          <w:lang w:bidi="ar-SA"/>
        </w:rPr>
        <w:t>державні</w:t>
      </w:r>
      <w:r w:rsidR="0017308A" w:rsidRPr="00A81310">
        <w:rPr>
          <w:rFonts w:ascii="Times New Roman" w:eastAsia="Times New Roman" w:hAnsi="Times New Roman" w:cs="Times New Roman"/>
          <w:sz w:val="28"/>
          <w:szCs w:val="22"/>
          <w:lang w:bidi="ar-SA"/>
        </w:rPr>
        <w:t>/комунальні</w:t>
      </w:r>
      <w:r w:rsidRPr="00A81310">
        <w:rPr>
          <w:rFonts w:ascii="Times New Roman" w:eastAsia="Times New Roman" w:hAnsi="Times New Roman" w:cs="Times New Roman"/>
          <w:sz w:val="28"/>
          <w:szCs w:val="22"/>
          <w:lang w:bidi="ar-SA"/>
        </w:rPr>
        <w:t xml:space="preserve"> бюджетні установи, які фінансуються за рахунок державного</w:t>
      </w:r>
      <w:r w:rsidR="0017308A" w:rsidRPr="00A81310">
        <w:rPr>
          <w:rFonts w:ascii="Times New Roman" w:eastAsia="Times New Roman" w:hAnsi="Times New Roman" w:cs="Times New Roman"/>
          <w:sz w:val="28"/>
          <w:szCs w:val="22"/>
          <w:lang w:bidi="ar-SA"/>
        </w:rPr>
        <w:t>/місцевого</w:t>
      </w:r>
      <w:r w:rsidRPr="00A81310">
        <w:rPr>
          <w:rFonts w:ascii="Times New Roman" w:eastAsia="Times New Roman" w:hAnsi="Times New Roman" w:cs="Times New Roman"/>
          <w:sz w:val="28"/>
          <w:szCs w:val="22"/>
          <w:lang w:bidi="ar-SA"/>
        </w:rPr>
        <w:t xml:space="preserve"> бюджету</w:t>
      </w:r>
      <w:r w:rsidR="00A81310" w:rsidRPr="00A81310">
        <w:rPr>
          <w:rFonts w:ascii="Times New Roman" w:eastAsia="Times New Roman" w:hAnsi="Times New Roman" w:cs="Times New Roman"/>
          <w:sz w:val="28"/>
          <w:szCs w:val="22"/>
          <w:lang w:bidi="ar-SA"/>
        </w:rPr>
        <w:t xml:space="preserve"> та іншим визначеним суб’єктам</w:t>
      </w:r>
      <w:r w:rsidRPr="00A81310">
        <w:rPr>
          <w:rFonts w:ascii="Times New Roman" w:eastAsia="Times New Roman" w:hAnsi="Times New Roman" w:cs="Times New Roman"/>
          <w:sz w:val="28"/>
          <w:szCs w:val="22"/>
          <w:lang w:bidi="ar-SA"/>
        </w:rPr>
        <w:t>, буде встановлено річну орендну плату</w:t>
      </w:r>
      <w:r w:rsidRPr="00EC259E">
        <w:rPr>
          <w:rFonts w:ascii="Times New Roman" w:eastAsia="Times New Roman" w:hAnsi="Times New Roman" w:cs="Times New Roman"/>
          <w:sz w:val="28"/>
          <w:szCs w:val="22"/>
          <w:lang w:bidi="ar-SA"/>
        </w:rPr>
        <w:t xml:space="preserve"> 1 грн/рік. </w:t>
      </w:r>
      <w:r w:rsidRPr="009477E7">
        <w:rPr>
          <w:rFonts w:ascii="Times New Roman" w:eastAsia="Times New Roman" w:hAnsi="Times New Roman" w:cs="Times New Roman"/>
          <w:sz w:val="28"/>
          <w:szCs w:val="22"/>
          <w:lang w:bidi="ar-SA"/>
        </w:rPr>
        <w:t>У свою чергу іншим орендарям, які мають право оренди без аукціону і які не утримуються/фінансуються з державного або місцевого бюджету, будуть встановлені диференційовані орендні ставки.</w:t>
      </w:r>
      <w:r w:rsidRPr="00EC259E">
        <w:rPr>
          <w:rFonts w:ascii="Times New Roman" w:eastAsia="Times New Roman" w:hAnsi="Times New Roman" w:cs="Times New Roman"/>
          <w:sz w:val="28"/>
          <w:szCs w:val="22"/>
          <w:lang w:bidi="ar-SA"/>
        </w:rPr>
        <w:t xml:space="preserve"> </w:t>
      </w:r>
    </w:p>
    <w:p w14:paraId="54F613C8" w14:textId="2D43FDC5" w:rsidR="00EC259E" w:rsidRPr="00CA7157" w:rsidRDefault="00EC259E" w:rsidP="00BE6FB8">
      <w:pPr>
        <w:pStyle w:val="14"/>
        <w:rPr>
          <w:lang w:bidi="uk-UA"/>
        </w:rPr>
      </w:pPr>
      <w:r w:rsidRPr="00EC259E">
        <w:t xml:space="preserve">Чинну Методику </w:t>
      </w:r>
      <w:r w:rsidR="00DD3087" w:rsidRPr="00DD3087">
        <w:t>роз</w:t>
      </w:r>
      <w:r w:rsidR="00DD3087">
        <w:t>рахунку та порядку використання плати за оренду майна, що є власністю територіальної громади м. Сєвєродонецька Луганської області, яка затверджена рішенням Сєвєродонецької міської ради від 22.12.2017 №</w:t>
      </w:r>
      <w:r w:rsidR="00A81310" w:rsidRPr="00CA7157">
        <w:t>2113 із змінами внесеними</w:t>
      </w:r>
      <w:r w:rsidR="00A81310">
        <w:t xml:space="preserve"> </w:t>
      </w:r>
      <w:r w:rsidR="00CA7157" w:rsidRPr="00CA7157">
        <w:t>рішеннями Сєвєродонецької міської ради від 23.02.2018 №2283, від 05.07.2018 №2757, розпорядженням керівника Військово-цивільної адміністрації міста Сєвєродонецьк Луганської області від 11.09.2020  №389</w:t>
      </w:r>
      <w:r w:rsidRPr="00CA7157">
        <w:rPr>
          <w:lang w:bidi="uk-UA"/>
        </w:rPr>
        <w:t xml:space="preserve">, буде визнано такою, що втратила чинність. </w:t>
      </w:r>
    </w:p>
    <w:p w14:paraId="7F61B406" w14:textId="54073341" w:rsidR="00EC259E" w:rsidRDefault="00EC259E" w:rsidP="00BE6FB8">
      <w:pPr>
        <w:pStyle w:val="14"/>
      </w:pPr>
      <w:r w:rsidRPr="00CA7157">
        <w:rPr>
          <w:lang w:bidi="uk-UA"/>
        </w:rPr>
        <w:t>2. Організаційні заходи впровадження регуляторного</w:t>
      </w:r>
      <w:r w:rsidRPr="00EC259E">
        <w:t xml:space="preserve"> акт</w:t>
      </w:r>
      <w:r w:rsidR="00267058">
        <w:t>у</w:t>
      </w:r>
      <w:r w:rsidRPr="00EC259E">
        <w:t xml:space="preserve"> в дію. </w:t>
      </w:r>
    </w:p>
    <w:p w14:paraId="272F5E38" w14:textId="77777777" w:rsidR="00217549" w:rsidRPr="00BE6FB8" w:rsidRDefault="001B4F46" w:rsidP="00BE6FB8">
      <w:pPr>
        <w:pStyle w:val="14"/>
      </w:pPr>
      <w:r w:rsidRPr="00BE6FB8">
        <w:t xml:space="preserve">Проведення консультацій з суб'єктами господарювання. </w:t>
      </w:r>
    </w:p>
    <w:p w14:paraId="152838BD" w14:textId="77777777" w:rsidR="00924FF7" w:rsidRPr="00BE6FB8" w:rsidRDefault="001B4F46" w:rsidP="00BE6FB8">
      <w:pPr>
        <w:pStyle w:val="14"/>
      </w:pPr>
      <w:r w:rsidRPr="00BE6FB8">
        <w:t>Розробка про</w:t>
      </w:r>
      <w:r w:rsidR="00217549" w:rsidRPr="00BE6FB8">
        <w:t>є</w:t>
      </w:r>
      <w:r w:rsidRPr="00BE6FB8">
        <w:t xml:space="preserve">кту </w:t>
      </w:r>
      <w:r w:rsidR="00217549" w:rsidRPr="00BE6FB8">
        <w:t>розпоря</w:t>
      </w:r>
      <w:r w:rsidR="00924FF7" w:rsidRPr="00BE6FB8">
        <w:t>дження</w:t>
      </w:r>
      <w:r w:rsidRPr="00BE6FB8">
        <w:t xml:space="preserve"> та </w:t>
      </w:r>
      <w:r w:rsidR="00924FF7" w:rsidRPr="00BE6FB8">
        <w:t>аналізу регуляторного впливу</w:t>
      </w:r>
      <w:r w:rsidRPr="00BE6FB8">
        <w:t xml:space="preserve"> до нього. </w:t>
      </w:r>
    </w:p>
    <w:p w14:paraId="25563B90" w14:textId="77777777" w:rsidR="00924FF7" w:rsidRPr="00BE6FB8" w:rsidRDefault="001B4F46" w:rsidP="00BE6FB8">
      <w:pPr>
        <w:pStyle w:val="14"/>
      </w:pPr>
      <w:r w:rsidRPr="00BE6FB8">
        <w:t>Оприлюднення про</w:t>
      </w:r>
      <w:r w:rsidR="00924FF7" w:rsidRPr="00BE6FB8">
        <w:t>є</w:t>
      </w:r>
      <w:r w:rsidRPr="00BE6FB8">
        <w:t xml:space="preserve">кту разом з </w:t>
      </w:r>
      <w:r w:rsidR="00924FF7" w:rsidRPr="00BE6FB8">
        <w:t>аналізом регуляторного впливу</w:t>
      </w:r>
      <w:r w:rsidRPr="00BE6FB8">
        <w:t xml:space="preserve"> та отримання пропозицій і зауважень. </w:t>
      </w:r>
    </w:p>
    <w:p w14:paraId="64559D37" w14:textId="77777777" w:rsidR="00924FF7" w:rsidRPr="00BE6FB8" w:rsidRDefault="001B4F46" w:rsidP="00BE6FB8">
      <w:pPr>
        <w:pStyle w:val="14"/>
      </w:pPr>
      <w:r w:rsidRPr="00BE6FB8">
        <w:t>Проведення громадських обговорень про</w:t>
      </w:r>
      <w:r w:rsidR="00924FF7" w:rsidRPr="00BE6FB8">
        <w:t>є</w:t>
      </w:r>
      <w:r w:rsidRPr="00BE6FB8">
        <w:t xml:space="preserve">кту </w:t>
      </w:r>
      <w:r w:rsidR="00924FF7" w:rsidRPr="00BE6FB8">
        <w:t>розпорядження.</w:t>
      </w:r>
    </w:p>
    <w:p w14:paraId="385FC729" w14:textId="77777777" w:rsidR="00924FF7" w:rsidRPr="00BE6FB8" w:rsidRDefault="001B4F46" w:rsidP="00BE6FB8">
      <w:pPr>
        <w:pStyle w:val="14"/>
      </w:pPr>
      <w:r w:rsidRPr="00BE6FB8">
        <w:t>Підготовка експертного висновку постійної відповідальної комісії щодо відповідності про</w:t>
      </w:r>
      <w:r w:rsidR="00924FF7" w:rsidRPr="00BE6FB8">
        <w:t>єк</w:t>
      </w:r>
      <w:r w:rsidRPr="00BE6FB8">
        <w:t xml:space="preserve">ту </w:t>
      </w:r>
      <w:r w:rsidR="00924FF7" w:rsidRPr="00BE6FB8">
        <w:t>розпорядження</w:t>
      </w:r>
      <w:r w:rsidRPr="00BE6FB8">
        <w:t xml:space="preserve"> вимогам статей 4, 8 Закону України </w:t>
      </w:r>
      <w:r w:rsidR="00924FF7" w:rsidRPr="00BE6FB8">
        <w:t>«</w:t>
      </w:r>
      <w:r w:rsidRPr="00BE6FB8">
        <w:t>Про засади державної регуляторної політики у сфері господарської діяльності</w:t>
      </w:r>
      <w:r w:rsidR="00924FF7" w:rsidRPr="00BE6FB8">
        <w:t>»</w:t>
      </w:r>
      <w:r w:rsidRPr="00BE6FB8">
        <w:t>. Отримання пропозицій щодо удосконалення про</w:t>
      </w:r>
      <w:r w:rsidR="00924FF7" w:rsidRPr="00BE6FB8">
        <w:t>є</w:t>
      </w:r>
      <w:r w:rsidRPr="00BE6FB8">
        <w:t xml:space="preserve">кту </w:t>
      </w:r>
      <w:r w:rsidR="00924FF7" w:rsidRPr="00BE6FB8">
        <w:t>розпорядження</w:t>
      </w:r>
      <w:r w:rsidRPr="00BE6FB8">
        <w:t xml:space="preserve"> від Державної регуляторної служби України. Оприлюднення </w:t>
      </w:r>
      <w:r w:rsidR="00924FF7" w:rsidRPr="00BE6FB8">
        <w:t>розпорядження</w:t>
      </w:r>
      <w:r w:rsidRPr="00BE6FB8">
        <w:t xml:space="preserve"> у встановленому законодавством </w:t>
      </w:r>
      <w:r w:rsidR="00924FF7" w:rsidRPr="00BE6FB8">
        <w:t xml:space="preserve">України </w:t>
      </w:r>
      <w:r w:rsidRPr="00BE6FB8">
        <w:t xml:space="preserve">порядку. </w:t>
      </w:r>
    </w:p>
    <w:p w14:paraId="0D354AEF" w14:textId="077CB678" w:rsidR="001B4F46" w:rsidRDefault="001B4F46" w:rsidP="00BE6FB8">
      <w:pPr>
        <w:pStyle w:val="14"/>
      </w:pPr>
      <w:r w:rsidRPr="00BE6FB8">
        <w:t>Проведення заходів з відстеження результативності прийнятого рішення. Після прийняття регуляторного акт</w:t>
      </w:r>
      <w:r w:rsidR="00A81310" w:rsidRPr="00BE6FB8">
        <w:t>у</w:t>
      </w:r>
      <w:r w:rsidRPr="00BE6FB8">
        <w:t xml:space="preserve"> очікується: - забезпечення права орендарів, які відповідно до ст.15 Закону </w:t>
      </w:r>
      <w:r w:rsidR="00083017" w:rsidRPr="00BE6FB8">
        <w:t xml:space="preserve">мають </w:t>
      </w:r>
      <w:r w:rsidRPr="00BE6FB8">
        <w:t xml:space="preserve">право </w:t>
      </w:r>
      <w:r w:rsidR="00A81310" w:rsidRPr="00BE6FB8">
        <w:t xml:space="preserve">отримати </w:t>
      </w:r>
      <w:r w:rsidR="00083017" w:rsidRPr="00BE6FB8">
        <w:t xml:space="preserve">майно в </w:t>
      </w:r>
      <w:r w:rsidRPr="00BE6FB8">
        <w:t>оренд</w:t>
      </w:r>
      <w:r w:rsidR="00083017" w:rsidRPr="00BE6FB8">
        <w:t>у</w:t>
      </w:r>
      <w:r w:rsidRPr="00BE6FB8">
        <w:t xml:space="preserve"> без аукціону; </w:t>
      </w:r>
      <w:r w:rsidR="00924FF7" w:rsidRPr="00BE6FB8">
        <w:t>забезпечення у регуляторній діяльності балансу інтересів суб’єктів господарювання та громади.</w:t>
      </w:r>
      <w:r w:rsidRPr="00BE6FB8">
        <w:t xml:space="preserve"> </w:t>
      </w:r>
    </w:p>
    <w:p w14:paraId="5670C6C6" w14:textId="77777777" w:rsidR="00472424" w:rsidRPr="00BE6FB8" w:rsidRDefault="00472424" w:rsidP="00BE6FB8">
      <w:pPr>
        <w:pStyle w:val="14"/>
      </w:pPr>
    </w:p>
    <w:p w14:paraId="65C1CE35" w14:textId="3F868813" w:rsidR="00EC259E" w:rsidRDefault="00EC259E" w:rsidP="00BE6FB8">
      <w:pPr>
        <w:pStyle w:val="ac"/>
        <w:numPr>
          <w:ilvl w:val="0"/>
          <w:numId w:val="23"/>
        </w:numPr>
        <w:ind w:left="0" w:firstLine="709"/>
        <w:jc w:val="both"/>
        <w:rPr>
          <w:rFonts w:ascii="Times New Roman" w:hAnsi="Times New Roman" w:cs="Times New Roman"/>
          <w:b/>
          <w:bCs/>
          <w:sz w:val="28"/>
          <w:szCs w:val="28"/>
        </w:rPr>
      </w:pPr>
      <w:r w:rsidRPr="00BE6FB8">
        <w:rPr>
          <w:rFonts w:ascii="Times New Roman" w:hAnsi="Times New Roman" w:cs="Times New Roman"/>
          <w:b/>
          <w:bCs/>
          <w:sz w:val="28"/>
          <w:szCs w:val="28"/>
        </w:rPr>
        <w:t xml:space="preserve">Оцінка виконання вимог регуляторного </w:t>
      </w:r>
      <w:proofErr w:type="spellStart"/>
      <w:r w:rsidRPr="00BE6FB8">
        <w:rPr>
          <w:rFonts w:ascii="Times New Roman" w:hAnsi="Times New Roman" w:cs="Times New Roman"/>
          <w:b/>
          <w:bCs/>
          <w:sz w:val="28"/>
          <w:szCs w:val="28"/>
        </w:rPr>
        <w:t>акта</w:t>
      </w:r>
      <w:proofErr w:type="spellEnd"/>
      <w:r w:rsidRPr="00BE6FB8">
        <w:rPr>
          <w:rFonts w:ascii="Times New Roman" w:hAnsi="Times New Roman" w:cs="Times New Roman"/>
          <w:b/>
          <w:bCs/>
          <w:sz w:val="28"/>
          <w:szCs w:val="28"/>
        </w:rPr>
        <w:t xml:space="preserve"> залежно від ресурсів, якими розпоряджаються </w:t>
      </w:r>
      <w:r w:rsidR="001B4F46" w:rsidRPr="00BE6FB8">
        <w:rPr>
          <w:rFonts w:ascii="Times New Roman" w:hAnsi="Times New Roman" w:cs="Times New Roman"/>
          <w:b/>
          <w:bCs/>
          <w:sz w:val="28"/>
          <w:szCs w:val="28"/>
        </w:rPr>
        <w:t>Сєвєродонецька міська територіальна громада</w:t>
      </w:r>
      <w:r w:rsidRPr="00BE6FB8">
        <w:rPr>
          <w:rFonts w:ascii="Times New Roman" w:hAnsi="Times New Roman" w:cs="Times New Roman"/>
          <w:b/>
          <w:bCs/>
          <w:sz w:val="28"/>
          <w:szCs w:val="28"/>
        </w:rPr>
        <w:t xml:space="preserve">, фізичні та юридичні особи, які повинні проваджувати або виконувати ці вимоги </w:t>
      </w:r>
    </w:p>
    <w:p w14:paraId="48AE0A3B" w14:textId="04730375" w:rsidR="002305E0" w:rsidRPr="002305E0" w:rsidRDefault="002305E0" w:rsidP="002305E0">
      <w:pPr>
        <w:pStyle w:val="ac"/>
        <w:keepNext/>
        <w:keepLines/>
        <w:widowControl/>
        <w:spacing w:line="268" w:lineRule="auto"/>
        <w:ind w:left="0" w:right="9" w:firstLine="709"/>
        <w:jc w:val="both"/>
        <w:outlineLvl w:val="0"/>
        <w:rPr>
          <w:rFonts w:ascii="Times New Roman" w:eastAsia="Times New Roman" w:hAnsi="Times New Roman" w:cs="Times New Roman"/>
          <w:b/>
          <w:sz w:val="28"/>
          <w:szCs w:val="28"/>
          <w:lang w:bidi="ar-SA"/>
        </w:rPr>
      </w:pPr>
      <w:r w:rsidRPr="002305E0">
        <w:rPr>
          <w:rFonts w:ascii="Times New Roman" w:hAnsi="Times New Roman" w:cs="Times New Roman"/>
          <w:sz w:val="28"/>
          <w:szCs w:val="28"/>
        </w:rPr>
        <w:t xml:space="preserve">Реалізація регуляторного </w:t>
      </w:r>
      <w:proofErr w:type="spellStart"/>
      <w:r w:rsidRPr="002305E0">
        <w:rPr>
          <w:rFonts w:ascii="Times New Roman" w:hAnsi="Times New Roman" w:cs="Times New Roman"/>
          <w:sz w:val="28"/>
          <w:szCs w:val="28"/>
        </w:rPr>
        <w:t>акта</w:t>
      </w:r>
      <w:proofErr w:type="spellEnd"/>
      <w:r w:rsidRPr="002305E0">
        <w:rPr>
          <w:rFonts w:ascii="Times New Roman" w:hAnsi="Times New Roman" w:cs="Times New Roman"/>
          <w:sz w:val="28"/>
          <w:szCs w:val="28"/>
        </w:rPr>
        <w:t xml:space="preserve"> не потребує </w:t>
      </w:r>
      <w:r>
        <w:rPr>
          <w:rFonts w:ascii="Times New Roman" w:hAnsi="Times New Roman" w:cs="Times New Roman"/>
          <w:sz w:val="28"/>
          <w:szCs w:val="28"/>
        </w:rPr>
        <w:t>витрат Сєвєродонецької міської територіальної громади та</w:t>
      </w:r>
      <w:r w:rsidRPr="002305E0">
        <w:rPr>
          <w:rFonts w:ascii="Times New Roman" w:hAnsi="Times New Roman" w:cs="Times New Roman"/>
          <w:sz w:val="28"/>
          <w:szCs w:val="28"/>
        </w:rPr>
        <w:t xml:space="preserve"> суб'єктів господарювання. </w:t>
      </w:r>
      <w:r>
        <w:rPr>
          <w:rFonts w:ascii="Times New Roman" w:hAnsi="Times New Roman" w:cs="Times New Roman"/>
          <w:sz w:val="28"/>
          <w:szCs w:val="28"/>
        </w:rPr>
        <w:t>В</w:t>
      </w:r>
      <w:r w:rsidRPr="002305E0">
        <w:rPr>
          <w:rFonts w:ascii="Times New Roman" w:hAnsi="Times New Roman" w:cs="Times New Roman"/>
          <w:sz w:val="28"/>
          <w:szCs w:val="28"/>
        </w:rPr>
        <w:t xml:space="preserve">иконання вимог регуляторного </w:t>
      </w:r>
      <w:proofErr w:type="spellStart"/>
      <w:r w:rsidRPr="002305E0">
        <w:rPr>
          <w:rFonts w:ascii="Times New Roman" w:hAnsi="Times New Roman" w:cs="Times New Roman"/>
          <w:sz w:val="28"/>
          <w:szCs w:val="28"/>
        </w:rPr>
        <w:t>акта</w:t>
      </w:r>
      <w:proofErr w:type="spellEnd"/>
      <w:r w:rsidRPr="002305E0">
        <w:rPr>
          <w:rFonts w:ascii="Times New Roman" w:hAnsi="Times New Roman" w:cs="Times New Roman"/>
          <w:sz w:val="28"/>
          <w:szCs w:val="28"/>
        </w:rPr>
        <w:t xml:space="preserve"> не призведе до додаткових витрат кожного суб’єкта господарювання. Кожен суб’єкт господарювання на власний розсуд обирає для себе, чи скористатись йому своїм правом на оренду комунального майна та чи прийнятні для нього умови отримання майна в оренду</w:t>
      </w:r>
      <w:r w:rsidR="00930FAB">
        <w:rPr>
          <w:rFonts w:ascii="Times New Roman" w:hAnsi="Times New Roman" w:cs="Times New Roman"/>
          <w:sz w:val="28"/>
          <w:szCs w:val="28"/>
        </w:rPr>
        <w:t xml:space="preserve">. </w:t>
      </w:r>
    </w:p>
    <w:p w14:paraId="06978B27" w14:textId="77777777" w:rsidR="001B4F46" w:rsidRDefault="00EC259E" w:rsidP="001B4F46">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Реалізація регуляторного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не передбачає витрат, пов’язаних із здійсненням контрольних функцій (здійснюються спеціалістами у межах службових повноважень). Передбачаються збільшення часових витрат на здійснення певних дій з надання консультацій та роз’яснень (усних, письмових) суб’єктам господарювання – учасникам договірних відносин.</w:t>
      </w:r>
    </w:p>
    <w:p w14:paraId="47EA3DD0" w14:textId="7F873B9C" w:rsidR="00EC259E" w:rsidRPr="00EC259E" w:rsidRDefault="00EC259E" w:rsidP="00EC259E">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Прийняття та оприлюднення запропоновано</w:t>
      </w:r>
      <w:r w:rsidR="00A07B75">
        <w:rPr>
          <w:rFonts w:ascii="Times New Roman" w:eastAsia="Times New Roman" w:hAnsi="Times New Roman" w:cs="Times New Roman"/>
          <w:sz w:val="28"/>
          <w:szCs w:val="22"/>
          <w:lang w:bidi="ar-SA"/>
        </w:rPr>
        <w:t>ї</w:t>
      </w:r>
      <w:r w:rsidRPr="00EC259E">
        <w:rPr>
          <w:rFonts w:ascii="Times New Roman" w:eastAsia="Times New Roman" w:hAnsi="Times New Roman" w:cs="Times New Roman"/>
          <w:sz w:val="28"/>
          <w:szCs w:val="22"/>
          <w:lang w:bidi="ar-SA"/>
        </w:rPr>
        <w:t xml:space="preserve"> </w:t>
      </w:r>
      <w:r w:rsidR="00A07B75">
        <w:rPr>
          <w:rFonts w:ascii="Times New Roman" w:eastAsia="Times New Roman" w:hAnsi="Times New Roman" w:cs="Times New Roman"/>
          <w:sz w:val="28"/>
          <w:szCs w:val="22"/>
          <w:lang w:bidi="ar-SA"/>
        </w:rPr>
        <w:t>Методики</w:t>
      </w:r>
      <w:r w:rsidRPr="00EC259E">
        <w:rPr>
          <w:rFonts w:ascii="Times New Roman" w:eastAsia="Times New Roman" w:hAnsi="Times New Roman" w:cs="Times New Roman"/>
          <w:sz w:val="28"/>
          <w:szCs w:val="22"/>
          <w:lang w:bidi="ar-SA"/>
        </w:rPr>
        <w:t xml:space="preserve"> в установленому порядку забезпечить доведення його до відома усіх учасників орендних відносин, </w:t>
      </w:r>
      <w:r w:rsidR="0021676D">
        <w:rPr>
          <w:rFonts w:ascii="Times New Roman" w:eastAsia="Times New Roman" w:hAnsi="Times New Roman" w:cs="Times New Roman"/>
          <w:sz w:val="28"/>
          <w:szCs w:val="22"/>
          <w:lang w:bidi="ar-SA"/>
        </w:rPr>
        <w:t>на яких розповсюджується її положення.</w:t>
      </w:r>
      <w:r w:rsidRPr="00EC259E">
        <w:rPr>
          <w:rFonts w:ascii="Times New Roman" w:eastAsia="Times New Roman" w:hAnsi="Times New Roman" w:cs="Times New Roman"/>
          <w:sz w:val="28"/>
          <w:szCs w:val="22"/>
          <w:lang w:bidi="ar-SA"/>
        </w:rPr>
        <w:t xml:space="preserve"> </w:t>
      </w:r>
    </w:p>
    <w:p w14:paraId="00523B71" w14:textId="77777777" w:rsidR="00EC259E" w:rsidRPr="00EC259E" w:rsidRDefault="00EC259E" w:rsidP="00EC259E">
      <w:pPr>
        <w:widowControl/>
        <w:spacing w:after="25" w:line="256" w:lineRule="auto"/>
        <w:ind w:left="91" w:right="111" w:hanging="10"/>
        <w:jc w:val="center"/>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Досягнення цілей не передбачає додаткових організаційних заходів. </w:t>
      </w:r>
    </w:p>
    <w:p w14:paraId="6DBF2096" w14:textId="0A78CE4A" w:rsidR="00EC259E" w:rsidRPr="00EC259E" w:rsidRDefault="00EC259E" w:rsidP="00A31937">
      <w:pPr>
        <w:widowControl/>
        <w:spacing w:after="15" w:line="266" w:lineRule="auto"/>
        <w:ind w:firstLine="851"/>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Можлива шкода у разі </w:t>
      </w:r>
      <w:r w:rsidR="0021676D">
        <w:rPr>
          <w:rFonts w:ascii="Times New Roman" w:eastAsia="Times New Roman" w:hAnsi="Times New Roman" w:cs="Times New Roman"/>
          <w:sz w:val="28"/>
          <w:szCs w:val="22"/>
          <w:lang w:bidi="ar-SA"/>
        </w:rPr>
        <w:t xml:space="preserve">досягнення </w:t>
      </w:r>
      <w:r w:rsidRPr="00EC259E">
        <w:rPr>
          <w:rFonts w:ascii="Times New Roman" w:eastAsia="Times New Roman" w:hAnsi="Times New Roman" w:cs="Times New Roman"/>
          <w:sz w:val="28"/>
          <w:szCs w:val="22"/>
          <w:lang w:bidi="ar-SA"/>
        </w:rPr>
        <w:t xml:space="preserve">очікуваних результатів дії </w:t>
      </w:r>
      <w:r w:rsidR="0021676D">
        <w:rPr>
          <w:rFonts w:ascii="Times New Roman" w:eastAsia="Times New Roman" w:hAnsi="Times New Roman" w:cs="Times New Roman"/>
          <w:sz w:val="28"/>
          <w:szCs w:val="22"/>
          <w:lang w:bidi="ar-SA"/>
        </w:rPr>
        <w:t>Методики</w:t>
      </w:r>
      <w:r w:rsidRPr="00EC259E">
        <w:rPr>
          <w:rFonts w:ascii="Times New Roman" w:eastAsia="Times New Roman" w:hAnsi="Times New Roman" w:cs="Times New Roman"/>
          <w:sz w:val="28"/>
          <w:szCs w:val="22"/>
          <w:lang w:bidi="ar-SA"/>
        </w:rPr>
        <w:t xml:space="preserve"> не прогнозується. </w:t>
      </w:r>
    </w:p>
    <w:p w14:paraId="5851FFB8" w14:textId="2AE30D77" w:rsidR="00EC259E" w:rsidRPr="00EC259E" w:rsidRDefault="00EC259E" w:rsidP="00EC259E">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Прийняття про</w:t>
      </w:r>
      <w:r w:rsidR="00AE2C7B">
        <w:rPr>
          <w:rFonts w:ascii="Times New Roman" w:eastAsia="Times New Roman" w:hAnsi="Times New Roman" w:cs="Times New Roman"/>
          <w:sz w:val="28"/>
          <w:szCs w:val="22"/>
          <w:lang w:bidi="ar-SA"/>
        </w:rPr>
        <w:t>є</w:t>
      </w:r>
      <w:r w:rsidRPr="00EC259E">
        <w:rPr>
          <w:rFonts w:ascii="Times New Roman" w:eastAsia="Times New Roman" w:hAnsi="Times New Roman" w:cs="Times New Roman"/>
          <w:sz w:val="28"/>
          <w:szCs w:val="22"/>
          <w:lang w:bidi="ar-SA"/>
        </w:rPr>
        <w:t xml:space="preserve">кту </w:t>
      </w:r>
      <w:r w:rsidR="0021676D">
        <w:rPr>
          <w:rFonts w:ascii="Times New Roman" w:eastAsia="Times New Roman" w:hAnsi="Times New Roman" w:cs="Times New Roman"/>
          <w:sz w:val="28"/>
          <w:szCs w:val="22"/>
          <w:lang w:bidi="ar-SA"/>
        </w:rPr>
        <w:t>Методики</w:t>
      </w:r>
      <w:r w:rsidRPr="00EC259E">
        <w:rPr>
          <w:rFonts w:ascii="Times New Roman" w:eastAsia="Times New Roman" w:hAnsi="Times New Roman" w:cs="Times New Roman"/>
          <w:sz w:val="28"/>
          <w:szCs w:val="22"/>
          <w:lang w:bidi="ar-SA"/>
        </w:rPr>
        <w:t xml:space="preserve"> не призведе до неочікуваних результатів і не потребує додаткових витрат з </w:t>
      </w:r>
      <w:r w:rsidR="00AE2C7B">
        <w:rPr>
          <w:rFonts w:ascii="Times New Roman" w:eastAsia="Times New Roman" w:hAnsi="Times New Roman" w:cs="Times New Roman"/>
          <w:sz w:val="28"/>
          <w:szCs w:val="22"/>
          <w:lang w:bidi="ar-SA"/>
        </w:rPr>
        <w:t>місцевого</w:t>
      </w:r>
      <w:r w:rsidRPr="00EC259E">
        <w:rPr>
          <w:rFonts w:ascii="Times New Roman" w:eastAsia="Times New Roman" w:hAnsi="Times New Roman" w:cs="Times New Roman"/>
          <w:sz w:val="28"/>
          <w:szCs w:val="22"/>
          <w:lang w:bidi="ar-SA"/>
        </w:rPr>
        <w:t xml:space="preserve"> бюджету. </w:t>
      </w:r>
    </w:p>
    <w:p w14:paraId="42981024" w14:textId="77777777" w:rsidR="00A07B75" w:rsidRDefault="00A07B75" w:rsidP="00EC259E">
      <w:pPr>
        <w:keepNext/>
        <w:keepLines/>
        <w:widowControl/>
        <w:spacing w:line="268" w:lineRule="auto"/>
        <w:ind w:left="19" w:right="17" w:hanging="10"/>
        <w:jc w:val="center"/>
        <w:outlineLvl w:val="0"/>
        <w:rPr>
          <w:rFonts w:ascii="Times New Roman" w:eastAsia="Times New Roman" w:hAnsi="Times New Roman" w:cs="Times New Roman"/>
          <w:b/>
          <w:sz w:val="28"/>
          <w:szCs w:val="22"/>
          <w:lang w:bidi="ar-SA"/>
        </w:rPr>
      </w:pPr>
    </w:p>
    <w:p w14:paraId="1FF4CB09" w14:textId="1921D93F" w:rsidR="00EC259E" w:rsidRPr="00EC259E" w:rsidRDefault="00EC259E" w:rsidP="00EC259E">
      <w:pPr>
        <w:keepNext/>
        <w:keepLines/>
        <w:widowControl/>
        <w:spacing w:line="268" w:lineRule="auto"/>
        <w:ind w:left="19" w:right="17" w:hanging="10"/>
        <w:jc w:val="center"/>
        <w:outlineLvl w:val="0"/>
        <w:rPr>
          <w:rFonts w:ascii="Times New Roman" w:eastAsia="Times New Roman" w:hAnsi="Times New Roman" w:cs="Times New Roman"/>
          <w:b/>
          <w:sz w:val="28"/>
          <w:szCs w:val="22"/>
          <w:lang w:bidi="ar-SA"/>
        </w:rPr>
      </w:pPr>
      <w:r w:rsidRPr="00EC259E">
        <w:rPr>
          <w:rFonts w:ascii="Times New Roman" w:eastAsia="Times New Roman" w:hAnsi="Times New Roman" w:cs="Times New Roman"/>
          <w:b/>
          <w:sz w:val="28"/>
          <w:szCs w:val="22"/>
          <w:lang w:bidi="ar-SA"/>
        </w:rPr>
        <w:t xml:space="preserve">VII. Обґрунтування запропонованого строку дії регуляторного </w:t>
      </w:r>
      <w:proofErr w:type="spellStart"/>
      <w:r w:rsidRPr="00EC259E">
        <w:rPr>
          <w:rFonts w:ascii="Times New Roman" w:eastAsia="Times New Roman" w:hAnsi="Times New Roman" w:cs="Times New Roman"/>
          <w:b/>
          <w:sz w:val="28"/>
          <w:szCs w:val="22"/>
          <w:lang w:bidi="ar-SA"/>
        </w:rPr>
        <w:t>акта</w:t>
      </w:r>
      <w:proofErr w:type="spellEnd"/>
      <w:r w:rsidRPr="00EC259E">
        <w:rPr>
          <w:rFonts w:ascii="Times New Roman" w:eastAsia="Times New Roman" w:hAnsi="Times New Roman" w:cs="Times New Roman"/>
          <w:b/>
          <w:sz w:val="28"/>
          <w:szCs w:val="22"/>
          <w:lang w:bidi="ar-SA"/>
        </w:rPr>
        <w:t xml:space="preserve"> </w:t>
      </w:r>
    </w:p>
    <w:p w14:paraId="4DB35250" w14:textId="6F62FBEB" w:rsidR="00EC259E" w:rsidRPr="00EC259E" w:rsidRDefault="00EC259E" w:rsidP="00472424">
      <w:pPr>
        <w:widowControl/>
        <w:spacing w:after="14" w:line="256" w:lineRule="auto"/>
        <w:rPr>
          <w:rFonts w:ascii="Times New Roman" w:eastAsia="Times New Roman" w:hAnsi="Times New Roman" w:cs="Times New Roman"/>
          <w:sz w:val="28"/>
          <w:szCs w:val="22"/>
          <w:lang w:bidi="ar-SA"/>
        </w:rPr>
      </w:pPr>
      <w:r w:rsidRPr="00EC259E">
        <w:rPr>
          <w:rFonts w:ascii="Times New Roman" w:eastAsia="Times New Roman" w:hAnsi="Times New Roman" w:cs="Times New Roman"/>
          <w:szCs w:val="22"/>
          <w:lang w:bidi="ar-SA"/>
        </w:rPr>
        <w:t xml:space="preserve"> </w:t>
      </w:r>
      <w:r w:rsidRPr="00EC259E">
        <w:rPr>
          <w:rFonts w:ascii="Times New Roman" w:eastAsia="Times New Roman" w:hAnsi="Times New Roman" w:cs="Times New Roman"/>
          <w:sz w:val="28"/>
          <w:szCs w:val="22"/>
          <w:lang w:bidi="ar-SA"/>
        </w:rPr>
        <w:t>Запропонований про</w:t>
      </w:r>
      <w:r w:rsidR="00AE2C7B">
        <w:rPr>
          <w:rFonts w:ascii="Times New Roman" w:eastAsia="Times New Roman" w:hAnsi="Times New Roman" w:cs="Times New Roman"/>
          <w:sz w:val="28"/>
          <w:szCs w:val="22"/>
          <w:lang w:bidi="ar-SA"/>
        </w:rPr>
        <w:t>є</w:t>
      </w:r>
      <w:r w:rsidRPr="00EC259E">
        <w:rPr>
          <w:rFonts w:ascii="Times New Roman" w:eastAsia="Times New Roman" w:hAnsi="Times New Roman" w:cs="Times New Roman"/>
          <w:sz w:val="28"/>
          <w:szCs w:val="22"/>
          <w:lang w:bidi="ar-SA"/>
        </w:rPr>
        <w:t xml:space="preserve">кт </w:t>
      </w:r>
      <w:r w:rsidR="00A07B75">
        <w:rPr>
          <w:rFonts w:ascii="Times New Roman" w:eastAsia="Times New Roman" w:hAnsi="Times New Roman" w:cs="Times New Roman"/>
          <w:sz w:val="28"/>
          <w:szCs w:val="22"/>
          <w:lang w:bidi="ar-SA"/>
        </w:rPr>
        <w:t>Методики</w:t>
      </w:r>
      <w:r w:rsidRPr="00EC259E">
        <w:rPr>
          <w:rFonts w:ascii="Times New Roman" w:eastAsia="Times New Roman" w:hAnsi="Times New Roman" w:cs="Times New Roman"/>
          <w:sz w:val="28"/>
          <w:szCs w:val="22"/>
          <w:lang w:bidi="ar-SA"/>
        </w:rPr>
        <w:t xml:space="preserve"> буде діяти до прийняття змін до нього, до прийняття змін до нормативно-правових актів, що мають вищу юридичну силу, які стосуються зазначеної сфери регулювання, або до моменту визнання його таким, що втратив чинність. </w:t>
      </w:r>
    </w:p>
    <w:p w14:paraId="7369ABB0" w14:textId="34F75DB3" w:rsidR="00EC259E" w:rsidRPr="00EC259E" w:rsidRDefault="00EC259E" w:rsidP="00EC259E">
      <w:pPr>
        <w:widowControl/>
        <w:spacing w:after="15" w:line="266" w:lineRule="auto"/>
        <w:ind w:left="708"/>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Про</w:t>
      </w:r>
      <w:r w:rsidR="00AE2C7B">
        <w:rPr>
          <w:rFonts w:ascii="Times New Roman" w:eastAsia="Times New Roman" w:hAnsi="Times New Roman" w:cs="Times New Roman"/>
          <w:sz w:val="28"/>
          <w:szCs w:val="22"/>
          <w:lang w:bidi="ar-SA"/>
        </w:rPr>
        <w:t>є</w:t>
      </w:r>
      <w:r w:rsidRPr="00EC259E">
        <w:rPr>
          <w:rFonts w:ascii="Times New Roman" w:eastAsia="Times New Roman" w:hAnsi="Times New Roman" w:cs="Times New Roman"/>
          <w:sz w:val="28"/>
          <w:szCs w:val="22"/>
          <w:lang w:bidi="ar-SA"/>
        </w:rPr>
        <w:t xml:space="preserve">кт </w:t>
      </w:r>
      <w:r w:rsidR="00AE2C7B">
        <w:rPr>
          <w:rFonts w:ascii="Times New Roman" w:eastAsia="Times New Roman" w:hAnsi="Times New Roman" w:cs="Times New Roman"/>
          <w:sz w:val="28"/>
          <w:szCs w:val="22"/>
          <w:lang w:bidi="ar-SA"/>
        </w:rPr>
        <w:t>Методики</w:t>
      </w:r>
      <w:r w:rsidRPr="00EC259E">
        <w:rPr>
          <w:rFonts w:ascii="Times New Roman" w:eastAsia="Times New Roman" w:hAnsi="Times New Roman" w:cs="Times New Roman"/>
          <w:sz w:val="28"/>
          <w:szCs w:val="22"/>
          <w:lang w:bidi="ar-SA"/>
        </w:rPr>
        <w:t xml:space="preserve"> набере чинності з дня його офіційного опублікування. </w:t>
      </w:r>
    </w:p>
    <w:p w14:paraId="37EC7CF8" w14:textId="77777777" w:rsidR="00EC259E" w:rsidRPr="00EC259E" w:rsidRDefault="00EC259E" w:rsidP="00EC259E">
      <w:pPr>
        <w:widowControl/>
        <w:spacing w:after="154" w:line="256" w:lineRule="auto"/>
        <w:ind w:left="708"/>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16"/>
          <w:szCs w:val="22"/>
          <w:lang w:bidi="ar-SA"/>
        </w:rPr>
        <w:t xml:space="preserve"> </w:t>
      </w:r>
    </w:p>
    <w:p w14:paraId="0682FDA7" w14:textId="77777777" w:rsidR="00EC259E" w:rsidRPr="00EC259E" w:rsidRDefault="00EC259E" w:rsidP="006315E7">
      <w:pPr>
        <w:widowControl/>
        <w:tabs>
          <w:tab w:val="left" w:pos="1134"/>
        </w:tabs>
        <w:spacing w:after="5" w:line="268" w:lineRule="auto"/>
        <w:ind w:left="708" w:hanging="343"/>
        <w:rPr>
          <w:rFonts w:ascii="Times New Roman" w:eastAsia="Times New Roman" w:hAnsi="Times New Roman" w:cs="Times New Roman"/>
          <w:sz w:val="28"/>
          <w:szCs w:val="22"/>
          <w:lang w:bidi="ar-SA"/>
        </w:rPr>
      </w:pPr>
      <w:r w:rsidRPr="00EC259E">
        <w:rPr>
          <w:rFonts w:ascii="Times New Roman" w:eastAsia="Times New Roman" w:hAnsi="Times New Roman" w:cs="Times New Roman"/>
          <w:b/>
          <w:sz w:val="28"/>
          <w:szCs w:val="22"/>
          <w:lang w:bidi="ar-SA"/>
        </w:rPr>
        <w:t xml:space="preserve">VIII. Визначення показників результативності дії регуляторного </w:t>
      </w:r>
      <w:proofErr w:type="spellStart"/>
      <w:r w:rsidRPr="00EC259E">
        <w:rPr>
          <w:rFonts w:ascii="Times New Roman" w:eastAsia="Times New Roman" w:hAnsi="Times New Roman" w:cs="Times New Roman"/>
          <w:b/>
          <w:sz w:val="28"/>
          <w:szCs w:val="22"/>
          <w:lang w:bidi="ar-SA"/>
        </w:rPr>
        <w:t>акта</w:t>
      </w:r>
      <w:proofErr w:type="spellEnd"/>
      <w:r w:rsidRPr="00EC259E">
        <w:rPr>
          <w:rFonts w:ascii="Times New Roman" w:eastAsia="Times New Roman" w:hAnsi="Times New Roman" w:cs="Times New Roman"/>
          <w:b/>
          <w:sz w:val="28"/>
          <w:szCs w:val="22"/>
          <w:lang w:bidi="ar-SA"/>
        </w:rPr>
        <w:t xml:space="preserve"> </w:t>
      </w:r>
      <w:r w:rsidRPr="00EC259E">
        <w:rPr>
          <w:rFonts w:ascii="Times New Roman" w:eastAsia="Times New Roman" w:hAnsi="Times New Roman" w:cs="Times New Roman"/>
          <w:sz w:val="28"/>
          <w:szCs w:val="22"/>
          <w:lang w:bidi="ar-SA"/>
        </w:rPr>
        <w:t xml:space="preserve">Обов’язковими показниками результативності запропонованого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є: </w:t>
      </w:r>
    </w:p>
    <w:p w14:paraId="082A6BC7" w14:textId="5C736EAF" w:rsidR="00EC259E" w:rsidRPr="00930FAB" w:rsidRDefault="00EC259E" w:rsidP="006315E7">
      <w:pPr>
        <w:widowControl/>
        <w:numPr>
          <w:ilvl w:val="0"/>
          <w:numId w:val="25"/>
        </w:numPr>
        <w:tabs>
          <w:tab w:val="left" w:pos="1134"/>
        </w:tabs>
        <w:spacing w:after="15" w:line="266" w:lineRule="auto"/>
        <w:ind w:right="4" w:firstLine="710"/>
        <w:jc w:val="both"/>
        <w:rPr>
          <w:rFonts w:ascii="Times New Roman" w:eastAsia="Times New Roman" w:hAnsi="Times New Roman" w:cs="Times New Roman"/>
          <w:sz w:val="28"/>
          <w:szCs w:val="22"/>
          <w:lang w:bidi="ar-SA"/>
        </w:rPr>
      </w:pPr>
      <w:r w:rsidRPr="00930FAB">
        <w:rPr>
          <w:rFonts w:ascii="Times New Roman" w:eastAsia="Times New Roman" w:hAnsi="Times New Roman" w:cs="Times New Roman"/>
          <w:sz w:val="28"/>
          <w:szCs w:val="22"/>
          <w:lang w:bidi="ar-SA"/>
        </w:rPr>
        <w:t xml:space="preserve">кількість суб’єктів господарювання та/або фізичних осіб, на яких поширюватиметься дія </w:t>
      </w:r>
      <w:proofErr w:type="spellStart"/>
      <w:r w:rsidRPr="00930FAB">
        <w:rPr>
          <w:rFonts w:ascii="Times New Roman" w:eastAsia="Times New Roman" w:hAnsi="Times New Roman" w:cs="Times New Roman"/>
          <w:sz w:val="28"/>
          <w:szCs w:val="22"/>
          <w:lang w:bidi="ar-SA"/>
        </w:rPr>
        <w:t>акта</w:t>
      </w:r>
      <w:proofErr w:type="spellEnd"/>
      <w:r w:rsidR="00930FAB" w:rsidRPr="00930FAB">
        <w:rPr>
          <w:rFonts w:ascii="Times New Roman" w:eastAsia="Times New Roman" w:hAnsi="Times New Roman" w:cs="Times New Roman"/>
          <w:sz w:val="28"/>
          <w:szCs w:val="22"/>
          <w:lang w:bidi="ar-SA"/>
        </w:rPr>
        <w:t xml:space="preserve"> та </w:t>
      </w:r>
      <w:r w:rsidRPr="00930FAB">
        <w:rPr>
          <w:rFonts w:ascii="Times New Roman" w:eastAsia="Times New Roman" w:hAnsi="Times New Roman" w:cs="Times New Roman"/>
          <w:sz w:val="28"/>
          <w:szCs w:val="22"/>
          <w:lang w:bidi="ar-SA"/>
        </w:rPr>
        <w:t xml:space="preserve">кількість договорів оренди, під час укладення яких застосовувалась Методика розрахунку орендної плати за </w:t>
      </w:r>
      <w:r w:rsidR="00AE2C7B" w:rsidRPr="00930FAB">
        <w:rPr>
          <w:rFonts w:ascii="Times New Roman" w:eastAsia="Times New Roman" w:hAnsi="Times New Roman" w:cs="Times New Roman"/>
          <w:sz w:val="28"/>
          <w:szCs w:val="22"/>
          <w:lang w:bidi="ar-SA"/>
        </w:rPr>
        <w:t>комунальне</w:t>
      </w:r>
      <w:r w:rsidRPr="00930FAB">
        <w:rPr>
          <w:rFonts w:ascii="Times New Roman" w:eastAsia="Times New Roman" w:hAnsi="Times New Roman" w:cs="Times New Roman"/>
          <w:sz w:val="28"/>
          <w:szCs w:val="22"/>
          <w:lang w:bidi="ar-SA"/>
        </w:rPr>
        <w:t xml:space="preserve"> майно; </w:t>
      </w:r>
    </w:p>
    <w:p w14:paraId="5E756B10" w14:textId="77777777" w:rsidR="00EC259E" w:rsidRPr="00930FAB" w:rsidRDefault="00EC259E" w:rsidP="006315E7">
      <w:pPr>
        <w:widowControl/>
        <w:numPr>
          <w:ilvl w:val="0"/>
          <w:numId w:val="25"/>
        </w:numPr>
        <w:tabs>
          <w:tab w:val="left" w:pos="1134"/>
        </w:tabs>
        <w:spacing w:after="15" w:line="266" w:lineRule="auto"/>
        <w:ind w:right="4" w:firstLine="710"/>
        <w:jc w:val="both"/>
        <w:rPr>
          <w:rFonts w:ascii="Times New Roman" w:eastAsia="Times New Roman" w:hAnsi="Times New Roman" w:cs="Times New Roman"/>
          <w:sz w:val="28"/>
          <w:szCs w:val="22"/>
          <w:lang w:bidi="ar-SA"/>
        </w:rPr>
      </w:pPr>
      <w:r w:rsidRPr="00930FAB">
        <w:rPr>
          <w:rFonts w:ascii="Times New Roman" w:eastAsia="Times New Roman" w:hAnsi="Times New Roman" w:cs="Times New Roman"/>
          <w:sz w:val="28"/>
          <w:szCs w:val="22"/>
          <w:lang w:bidi="ar-SA"/>
        </w:rPr>
        <w:t xml:space="preserve">кількість договорів оренди, під час внесення змін до яких застосовувалась Методика розрахунку орендної плати за державне майно. </w:t>
      </w:r>
    </w:p>
    <w:p w14:paraId="59992060" w14:textId="5999A87D" w:rsidR="00EC259E" w:rsidRPr="00EC259E" w:rsidRDefault="00EC259E" w:rsidP="006315E7">
      <w:pPr>
        <w:widowControl/>
        <w:tabs>
          <w:tab w:val="left" w:pos="1134"/>
        </w:tabs>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lastRenderedPageBreak/>
        <w:t>Зміни, що пропонуються, поширюватимуться на орендарів</w:t>
      </w:r>
      <w:r w:rsidR="00AE2C7B">
        <w:rPr>
          <w:rFonts w:ascii="Times New Roman" w:eastAsia="Times New Roman" w:hAnsi="Times New Roman" w:cs="Times New Roman"/>
          <w:sz w:val="28"/>
          <w:szCs w:val="22"/>
          <w:lang w:bidi="ar-SA"/>
        </w:rPr>
        <w:t>,</w:t>
      </w:r>
      <w:r w:rsidRPr="00EC259E">
        <w:rPr>
          <w:rFonts w:ascii="Times New Roman" w:eastAsia="Times New Roman" w:hAnsi="Times New Roman" w:cs="Times New Roman"/>
          <w:sz w:val="28"/>
          <w:szCs w:val="22"/>
          <w:lang w:bidi="ar-SA"/>
        </w:rPr>
        <w:t xml:space="preserve"> орендодавців </w:t>
      </w:r>
      <w:r w:rsidR="00AE2C7B">
        <w:rPr>
          <w:rFonts w:ascii="Times New Roman" w:eastAsia="Times New Roman" w:hAnsi="Times New Roman" w:cs="Times New Roman"/>
          <w:sz w:val="28"/>
          <w:szCs w:val="22"/>
          <w:lang w:bidi="ar-SA"/>
        </w:rPr>
        <w:t>та балансоутримувачів комунального</w:t>
      </w:r>
      <w:r w:rsidRPr="00EC259E">
        <w:rPr>
          <w:rFonts w:ascii="Times New Roman" w:eastAsia="Times New Roman" w:hAnsi="Times New Roman" w:cs="Times New Roman"/>
          <w:sz w:val="28"/>
          <w:szCs w:val="22"/>
          <w:lang w:bidi="ar-SA"/>
        </w:rPr>
        <w:t xml:space="preserve"> майна всіх організаційно-правових форм.  </w:t>
      </w:r>
    </w:p>
    <w:p w14:paraId="627BDB5D" w14:textId="7E16C55F" w:rsidR="00EC259E" w:rsidRPr="00EC259E" w:rsidRDefault="00EC259E" w:rsidP="006315E7">
      <w:pPr>
        <w:widowControl/>
        <w:tabs>
          <w:tab w:val="left" w:pos="1134"/>
        </w:tabs>
        <w:spacing w:after="196"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Про</w:t>
      </w:r>
      <w:r w:rsidR="00AE2C7B">
        <w:rPr>
          <w:rFonts w:ascii="Times New Roman" w:eastAsia="Times New Roman" w:hAnsi="Times New Roman" w:cs="Times New Roman"/>
          <w:sz w:val="28"/>
          <w:szCs w:val="22"/>
          <w:lang w:bidi="ar-SA"/>
        </w:rPr>
        <w:t>є</w:t>
      </w:r>
      <w:r w:rsidRPr="00EC259E">
        <w:rPr>
          <w:rFonts w:ascii="Times New Roman" w:eastAsia="Times New Roman" w:hAnsi="Times New Roman" w:cs="Times New Roman"/>
          <w:sz w:val="28"/>
          <w:szCs w:val="22"/>
          <w:lang w:bidi="ar-SA"/>
        </w:rPr>
        <w:t xml:space="preserve">кт </w:t>
      </w:r>
      <w:r w:rsidR="00AE2C7B">
        <w:rPr>
          <w:rFonts w:ascii="Times New Roman" w:eastAsia="Times New Roman" w:hAnsi="Times New Roman" w:cs="Times New Roman"/>
          <w:sz w:val="28"/>
          <w:szCs w:val="22"/>
          <w:lang w:bidi="ar-SA"/>
        </w:rPr>
        <w:t>Методики</w:t>
      </w:r>
      <w:r w:rsidRPr="00EC259E">
        <w:rPr>
          <w:rFonts w:ascii="Times New Roman" w:eastAsia="Times New Roman" w:hAnsi="Times New Roman" w:cs="Times New Roman"/>
          <w:sz w:val="28"/>
          <w:szCs w:val="22"/>
          <w:lang w:bidi="ar-SA"/>
        </w:rPr>
        <w:t xml:space="preserve"> </w:t>
      </w:r>
      <w:r w:rsidR="00AE2C7B">
        <w:rPr>
          <w:rFonts w:ascii="Times New Roman" w:eastAsia="Times New Roman" w:hAnsi="Times New Roman" w:cs="Times New Roman"/>
          <w:sz w:val="28"/>
          <w:szCs w:val="22"/>
          <w:lang w:bidi="ar-SA"/>
        </w:rPr>
        <w:t>о</w:t>
      </w:r>
      <w:r w:rsidRPr="00EC259E">
        <w:rPr>
          <w:rFonts w:ascii="Times New Roman" w:eastAsia="Times New Roman" w:hAnsi="Times New Roman" w:cs="Times New Roman"/>
          <w:sz w:val="28"/>
          <w:szCs w:val="22"/>
          <w:lang w:bidi="ar-SA"/>
        </w:rPr>
        <w:t>прилюдн</w:t>
      </w:r>
      <w:r w:rsidR="00AE2C7B">
        <w:rPr>
          <w:rFonts w:ascii="Times New Roman" w:eastAsia="Times New Roman" w:hAnsi="Times New Roman" w:cs="Times New Roman"/>
          <w:sz w:val="28"/>
          <w:szCs w:val="22"/>
          <w:lang w:bidi="ar-SA"/>
        </w:rPr>
        <w:t>ю</w:t>
      </w:r>
      <w:r w:rsidR="0021676D">
        <w:rPr>
          <w:rFonts w:ascii="Times New Roman" w:eastAsia="Times New Roman" w:hAnsi="Times New Roman" w:cs="Times New Roman"/>
          <w:sz w:val="28"/>
          <w:szCs w:val="22"/>
          <w:lang w:bidi="ar-SA"/>
        </w:rPr>
        <w:t>є</w:t>
      </w:r>
      <w:r w:rsidR="00AE2C7B">
        <w:rPr>
          <w:rFonts w:ascii="Times New Roman" w:eastAsia="Times New Roman" w:hAnsi="Times New Roman" w:cs="Times New Roman"/>
          <w:sz w:val="28"/>
          <w:szCs w:val="22"/>
          <w:lang w:bidi="ar-SA"/>
        </w:rPr>
        <w:t>ться</w:t>
      </w:r>
      <w:r w:rsidRPr="00EC259E">
        <w:rPr>
          <w:rFonts w:ascii="Times New Roman" w:eastAsia="Times New Roman" w:hAnsi="Times New Roman" w:cs="Times New Roman"/>
          <w:sz w:val="28"/>
          <w:szCs w:val="22"/>
          <w:lang w:bidi="ar-SA"/>
        </w:rPr>
        <w:t xml:space="preserve"> з метою обговорення та отримання від суб'єктів  господарювання  зауважень та пропозицій. </w:t>
      </w:r>
    </w:p>
    <w:p w14:paraId="449B6C7B" w14:textId="77777777" w:rsidR="00EC259E" w:rsidRPr="00EC259E" w:rsidRDefault="00EC259E" w:rsidP="00EC259E">
      <w:pPr>
        <w:keepNext/>
        <w:keepLines/>
        <w:widowControl/>
        <w:spacing w:line="268" w:lineRule="auto"/>
        <w:ind w:left="19" w:right="-22" w:hanging="10"/>
        <w:jc w:val="center"/>
        <w:outlineLvl w:val="0"/>
        <w:rPr>
          <w:rFonts w:ascii="Times New Roman" w:eastAsia="Times New Roman" w:hAnsi="Times New Roman" w:cs="Times New Roman"/>
          <w:b/>
          <w:sz w:val="28"/>
          <w:szCs w:val="22"/>
          <w:lang w:bidi="ar-SA"/>
        </w:rPr>
      </w:pPr>
      <w:r w:rsidRPr="00EC259E">
        <w:rPr>
          <w:rFonts w:ascii="Times New Roman" w:eastAsia="Times New Roman" w:hAnsi="Times New Roman" w:cs="Times New Roman"/>
          <w:b/>
          <w:sz w:val="28"/>
          <w:szCs w:val="22"/>
          <w:lang w:bidi="ar-SA"/>
        </w:rPr>
        <w:t xml:space="preserve">IX. Визначення заходів, за допомогою яких здійснюватиметься відстеження результативності дії регуляторного </w:t>
      </w:r>
      <w:proofErr w:type="spellStart"/>
      <w:r w:rsidRPr="00EC259E">
        <w:rPr>
          <w:rFonts w:ascii="Times New Roman" w:eastAsia="Times New Roman" w:hAnsi="Times New Roman" w:cs="Times New Roman"/>
          <w:b/>
          <w:sz w:val="28"/>
          <w:szCs w:val="22"/>
          <w:lang w:bidi="ar-SA"/>
        </w:rPr>
        <w:t>акта</w:t>
      </w:r>
      <w:proofErr w:type="spellEnd"/>
      <w:r w:rsidRPr="00EC259E">
        <w:rPr>
          <w:rFonts w:ascii="Times New Roman" w:eastAsia="Times New Roman" w:hAnsi="Times New Roman" w:cs="Times New Roman"/>
          <w:b/>
          <w:sz w:val="28"/>
          <w:szCs w:val="22"/>
          <w:lang w:bidi="ar-SA"/>
        </w:rPr>
        <w:t xml:space="preserve"> </w:t>
      </w:r>
    </w:p>
    <w:p w14:paraId="199D8187" w14:textId="4638DA67" w:rsidR="00EC259E" w:rsidRPr="00EC259E" w:rsidRDefault="00EC259E" w:rsidP="00EC259E">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Стосовно регуляторного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Фондом буде здійснюватися базове, повторне та періодичне відстеження його результативності в строки, установлені статтею</w:t>
      </w:r>
      <w:r w:rsidR="0021676D">
        <w:rPr>
          <w:rFonts w:ascii="Times New Roman" w:eastAsia="Times New Roman" w:hAnsi="Times New Roman" w:cs="Times New Roman"/>
          <w:sz w:val="28"/>
          <w:szCs w:val="22"/>
          <w:lang w:bidi="ar-SA"/>
        </w:rPr>
        <w:t> </w:t>
      </w:r>
      <w:r w:rsidRPr="00EC259E">
        <w:rPr>
          <w:rFonts w:ascii="Times New Roman" w:eastAsia="Times New Roman" w:hAnsi="Times New Roman" w:cs="Times New Roman"/>
          <w:sz w:val="28"/>
          <w:szCs w:val="22"/>
          <w:lang w:bidi="ar-SA"/>
        </w:rPr>
        <w:t xml:space="preserve">10 Закону України «Про засади державної регуляторної політики у сфері господарської діяльності». </w:t>
      </w:r>
    </w:p>
    <w:p w14:paraId="4A7EDF86" w14:textId="0047CC90" w:rsidR="00EC259E" w:rsidRPr="00EC259E" w:rsidRDefault="00EC259E" w:rsidP="00EC259E">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Відстеження результативності регуляторного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буде здійснено шляхом моніторингу кількості нових договорів оренди та договорів, у які вносилися зміни з урахування положень Методики розрахунку орендної плати за </w:t>
      </w:r>
      <w:r w:rsidR="00AE2C7B">
        <w:rPr>
          <w:rFonts w:ascii="Times New Roman" w:eastAsia="Times New Roman" w:hAnsi="Times New Roman" w:cs="Times New Roman"/>
          <w:sz w:val="28"/>
          <w:szCs w:val="22"/>
          <w:lang w:bidi="ar-SA"/>
        </w:rPr>
        <w:t>комунальне</w:t>
      </w:r>
      <w:r w:rsidRPr="00EC259E">
        <w:rPr>
          <w:rFonts w:ascii="Times New Roman" w:eastAsia="Times New Roman" w:hAnsi="Times New Roman" w:cs="Times New Roman"/>
          <w:sz w:val="28"/>
          <w:szCs w:val="22"/>
          <w:lang w:bidi="ar-SA"/>
        </w:rPr>
        <w:t xml:space="preserve"> майно. </w:t>
      </w:r>
    </w:p>
    <w:p w14:paraId="0051FC76" w14:textId="77777777" w:rsidR="00EC259E" w:rsidRPr="00EC259E" w:rsidRDefault="00EC259E" w:rsidP="00EC259E">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Базове відстеження результативності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буде здійснено після набрання чинності цим актом шляхом оброблення результатів, але не пізніше дня, з якого починається проведення повторного відстеження результативності цього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w:t>
      </w:r>
    </w:p>
    <w:p w14:paraId="644EFA1B" w14:textId="77777777" w:rsidR="00EC259E" w:rsidRPr="00EC259E" w:rsidRDefault="00EC259E" w:rsidP="00EC259E">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Повторне відстеження результативності регуляторного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здійснюватиметься через рік з дня набрання чинності цим регуляторним актом, але не пізніше двох років після набрання ним чинності. За результатами даного відстеження відбудеться порівняння показників базового та повторного відстеження.  </w:t>
      </w:r>
    </w:p>
    <w:p w14:paraId="44DDC357" w14:textId="77777777" w:rsidR="00EC259E" w:rsidRPr="00EC259E" w:rsidRDefault="00EC259E" w:rsidP="00EC259E">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Періодичне відстеження результативності цього регуляторного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здійснюватиметься раз на три роки, починаючи з дня виконання заходів з повторного відстеження результативності на підставі даних щодо укладення договорів оренди без проведення аукціону. </w:t>
      </w:r>
    </w:p>
    <w:p w14:paraId="3E80484C" w14:textId="74BCE3EA" w:rsidR="006A1EEA" w:rsidRDefault="00EC259E" w:rsidP="00115027">
      <w:pPr>
        <w:widowControl/>
        <w:spacing w:after="15" w:line="266" w:lineRule="auto"/>
        <w:ind w:left="-15" w:firstLine="710"/>
        <w:jc w:val="both"/>
        <w:rPr>
          <w:rFonts w:ascii="Times New Roman" w:eastAsia="Times New Roman" w:hAnsi="Times New Roman" w:cs="Times New Roman"/>
          <w:sz w:val="28"/>
          <w:szCs w:val="22"/>
          <w:lang w:bidi="ar-SA"/>
        </w:rPr>
      </w:pPr>
      <w:r w:rsidRPr="00EC259E">
        <w:rPr>
          <w:rFonts w:ascii="Times New Roman" w:eastAsia="Times New Roman" w:hAnsi="Times New Roman" w:cs="Times New Roman"/>
          <w:sz w:val="28"/>
          <w:szCs w:val="22"/>
          <w:lang w:bidi="ar-SA"/>
        </w:rPr>
        <w:t xml:space="preserve">Відстеження результативності цього регуляторного </w:t>
      </w:r>
      <w:proofErr w:type="spellStart"/>
      <w:r w:rsidRPr="00EC259E">
        <w:rPr>
          <w:rFonts w:ascii="Times New Roman" w:eastAsia="Times New Roman" w:hAnsi="Times New Roman" w:cs="Times New Roman"/>
          <w:sz w:val="28"/>
          <w:szCs w:val="22"/>
          <w:lang w:bidi="ar-SA"/>
        </w:rPr>
        <w:t>акта</w:t>
      </w:r>
      <w:proofErr w:type="spellEnd"/>
      <w:r w:rsidRPr="00EC259E">
        <w:rPr>
          <w:rFonts w:ascii="Times New Roman" w:eastAsia="Times New Roman" w:hAnsi="Times New Roman" w:cs="Times New Roman"/>
          <w:sz w:val="28"/>
          <w:szCs w:val="22"/>
          <w:lang w:bidi="ar-SA"/>
        </w:rPr>
        <w:t xml:space="preserve"> буде здійснюватися  Фондом за допомогою статистичних даних. </w:t>
      </w:r>
    </w:p>
    <w:p w14:paraId="4FBC55F6" w14:textId="33462173" w:rsidR="006315E7" w:rsidRDefault="006315E7" w:rsidP="006315E7">
      <w:pPr>
        <w:rPr>
          <w:rFonts w:cs="Times New Roman"/>
          <w:sz w:val="28"/>
          <w:szCs w:val="28"/>
        </w:rPr>
      </w:pPr>
    </w:p>
    <w:p w14:paraId="247E14A4" w14:textId="77777777" w:rsidR="00267058" w:rsidRDefault="00267058" w:rsidP="006315E7">
      <w:pPr>
        <w:rPr>
          <w:rFonts w:cs="Times New Roman"/>
          <w:sz w:val="28"/>
          <w:szCs w:val="28"/>
        </w:rPr>
      </w:pPr>
    </w:p>
    <w:p w14:paraId="69807D37" w14:textId="514BF03D" w:rsidR="006315E7" w:rsidRPr="006315E7" w:rsidRDefault="006315E7" w:rsidP="006315E7">
      <w:pPr>
        <w:rPr>
          <w:rFonts w:ascii="Times New Roman" w:eastAsia="Times New Roman" w:hAnsi="Times New Roman" w:cs="Times New Roman"/>
          <w:b/>
          <w:bCs/>
          <w:sz w:val="28"/>
          <w:szCs w:val="22"/>
          <w:lang w:bidi="ar-SA"/>
        </w:rPr>
      </w:pPr>
      <w:r w:rsidRPr="006315E7">
        <w:rPr>
          <w:rFonts w:ascii="Times New Roman" w:eastAsia="Times New Roman" w:hAnsi="Times New Roman" w:cs="Times New Roman"/>
          <w:b/>
          <w:bCs/>
          <w:sz w:val="28"/>
          <w:szCs w:val="22"/>
          <w:lang w:bidi="ar-SA"/>
        </w:rPr>
        <w:t xml:space="preserve">Начальник Фонду комунального майна          </w:t>
      </w:r>
      <w:r w:rsidR="00083017">
        <w:rPr>
          <w:rFonts w:ascii="Times New Roman" w:eastAsia="Times New Roman" w:hAnsi="Times New Roman" w:cs="Times New Roman"/>
          <w:b/>
          <w:bCs/>
          <w:sz w:val="28"/>
          <w:szCs w:val="22"/>
          <w:lang w:bidi="ar-SA"/>
        </w:rPr>
        <w:t xml:space="preserve">   </w:t>
      </w:r>
      <w:r w:rsidRPr="006315E7">
        <w:rPr>
          <w:rFonts w:ascii="Times New Roman" w:eastAsia="Times New Roman" w:hAnsi="Times New Roman" w:cs="Times New Roman"/>
          <w:b/>
          <w:bCs/>
          <w:sz w:val="28"/>
          <w:szCs w:val="22"/>
          <w:lang w:bidi="ar-SA"/>
        </w:rPr>
        <w:t xml:space="preserve">       Олена СЕРДЮКОВА </w:t>
      </w:r>
    </w:p>
    <w:p w14:paraId="0150A696" w14:textId="77777777" w:rsidR="006315E7" w:rsidRPr="006315E7" w:rsidRDefault="006315E7" w:rsidP="006315E7">
      <w:pPr>
        <w:rPr>
          <w:rFonts w:ascii="Times New Roman" w:eastAsia="Times New Roman" w:hAnsi="Times New Roman" w:cs="Times New Roman"/>
          <w:b/>
          <w:bCs/>
          <w:sz w:val="28"/>
          <w:szCs w:val="22"/>
          <w:lang w:bidi="ar-SA"/>
        </w:rPr>
      </w:pPr>
    </w:p>
    <w:sectPr w:rsidR="006315E7" w:rsidRPr="006315E7" w:rsidSect="00472424">
      <w:headerReference w:type="default" r:id="rId8"/>
      <w:headerReference w:type="first" r:id="rId9"/>
      <w:pgSz w:w="11900" w:h="16840"/>
      <w:pgMar w:top="1135" w:right="678" w:bottom="1135" w:left="15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3F1B" w14:textId="77777777" w:rsidR="00573D8F" w:rsidRDefault="00573D8F">
      <w:r>
        <w:separator/>
      </w:r>
    </w:p>
  </w:endnote>
  <w:endnote w:type="continuationSeparator" w:id="0">
    <w:p w14:paraId="4E74B84B" w14:textId="77777777" w:rsidR="00573D8F" w:rsidRDefault="0057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344D" w14:textId="77777777" w:rsidR="00573D8F" w:rsidRDefault="00573D8F"/>
  </w:footnote>
  <w:footnote w:type="continuationSeparator" w:id="0">
    <w:p w14:paraId="3F5C777B" w14:textId="77777777" w:rsidR="00573D8F" w:rsidRDefault="00573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E97B" w14:textId="388949FA" w:rsidR="00605C72" w:rsidRDefault="00663AED">
    <w:pPr>
      <w:spacing w:line="1" w:lineRule="exact"/>
    </w:pPr>
    <w:r>
      <w:rPr>
        <w:noProof/>
        <w:lang w:val="ru-RU" w:eastAsia="ru-RU" w:bidi="ar-SA"/>
      </w:rPr>
      <mc:AlternateContent>
        <mc:Choice Requires="wps">
          <w:drawing>
            <wp:anchor distT="0" distB="0" distL="0" distR="0" simplePos="0" relativeHeight="251657728" behindDoc="1" locked="0" layoutInCell="1" allowOverlap="1" wp14:anchorId="12E88791" wp14:editId="36C82D94">
              <wp:simplePos x="0" y="0"/>
              <wp:positionH relativeFrom="page">
                <wp:posOffset>3977005</wp:posOffset>
              </wp:positionH>
              <wp:positionV relativeFrom="page">
                <wp:posOffset>490220</wp:posOffset>
              </wp:positionV>
              <wp:extent cx="187960" cy="18796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87960"/>
                      </a:xfrm>
                      <a:prstGeom prst="rect">
                        <a:avLst/>
                      </a:prstGeom>
                      <a:noFill/>
                    </wps:spPr>
                    <wps:txbx>
                      <w:txbxContent>
                        <w:p w14:paraId="7DA582D0" w14:textId="77777777" w:rsidR="00605C72" w:rsidRDefault="00620527">
                          <w:pPr>
                            <w:pStyle w:val="20"/>
                            <w:rPr>
                              <w:sz w:val="24"/>
                              <w:szCs w:val="24"/>
                            </w:rPr>
                          </w:pPr>
                          <w:r>
                            <w:fldChar w:fldCharType="begin"/>
                          </w:r>
                          <w:r w:rsidR="006C2B2A">
                            <w:instrText xml:space="preserve"> PAGE \* MERGEFORMAT </w:instrText>
                          </w:r>
                          <w:r>
                            <w:fldChar w:fldCharType="separate"/>
                          </w:r>
                          <w:r w:rsidR="001E0E7B" w:rsidRPr="001E0E7B">
                            <w:rPr>
                              <w:noProof/>
                              <w:sz w:val="24"/>
                              <w:szCs w:val="24"/>
                            </w:rPr>
                            <w:t>3</w:t>
                          </w:r>
                          <w:r>
                            <w:rPr>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2E88791" id="_x0000_t202" coordsize="21600,21600" o:spt="202" path="m,l,21600r21600,l21600,xe">
              <v:stroke joinstyle="miter"/>
              <v:path gradientshapeok="t" o:connecttype="rect"/>
            </v:shapetype>
            <v:shape id="Shape 3" o:spid="_x0000_s1026" type="#_x0000_t202" style="position:absolute;margin-left:313.15pt;margin-top:38.6pt;width:14.8pt;height:14.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" filled="f" stroked="f">
              <v:textbox inset="0,0,0,0">
                <w:txbxContent>
                  <w:p w14:paraId="7DA582D0" w14:textId="77777777" w:rsidR="00605C72" w:rsidRDefault="00620527">
                    <w:pPr>
                      <w:pStyle w:val="20"/>
                      <w:rPr>
                        <w:sz w:val="24"/>
                        <w:szCs w:val="24"/>
                      </w:rPr>
                    </w:pPr>
                    <w:r>
                      <w:fldChar w:fldCharType="begin"/>
                    </w:r>
                    <w:r w:rsidR="006C2B2A">
                      <w:instrText xml:space="preserve"> PAGE \* MERGEFORMAT </w:instrText>
                    </w:r>
                    <w:r>
                      <w:fldChar w:fldCharType="separate"/>
                    </w:r>
                    <w:r w:rsidR="001E0E7B" w:rsidRPr="001E0E7B">
                      <w:rPr>
                        <w:noProof/>
                        <w:sz w:val="24"/>
                        <w:szCs w:val="24"/>
                      </w:rPr>
                      <w:t>3</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E457" w14:textId="77777777" w:rsidR="00605C72" w:rsidRDefault="00605C7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C3B"/>
    <w:multiLevelType w:val="hybridMultilevel"/>
    <w:tmpl w:val="1130A964"/>
    <w:lvl w:ilvl="0" w:tplc="F7A2992A">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7D0880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E60E36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F001B4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2861DC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9B4B25E">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350AA8E">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C34B24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7A45C2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1641680C"/>
    <w:multiLevelType w:val="hybridMultilevel"/>
    <w:tmpl w:val="E8687A92"/>
    <w:lvl w:ilvl="0" w:tplc="B00C2EBA">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EB20472">
      <w:start w:val="1"/>
      <w:numFmt w:val="lowerLetter"/>
      <w:lvlText w:val="%2"/>
      <w:lvlJc w:val="left"/>
      <w:pPr>
        <w:ind w:left="19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8A6CD9A">
      <w:start w:val="1"/>
      <w:numFmt w:val="lowerRoman"/>
      <w:lvlText w:val="%3"/>
      <w:lvlJc w:val="left"/>
      <w:pPr>
        <w:ind w:left="27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F7692DC">
      <w:start w:val="1"/>
      <w:numFmt w:val="decimal"/>
      <w:lvlText w:val="%4"/>
      <w:lvlJc w:val="left"/>
      <w:pPr>
        <w:ind w:left="34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7880C8A">
      <w:start w:val="1"/>
      <w:numFmt w:val="lowerLetter"/>
      <w:lvlText w:val="%5"/>
      <w:lvlJc w:val="left"/>
      <w:pPr>
        <w:ind w:left="41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8745A00">
      <w:start w:val="1"/>
      <w:numFmt w:val="lowerRoman"/>
      <w:lvlText w:val="%6"/>
      <w:lvlJc w:val="left"/>
      <w:pPr>
        <w:ind w:left="48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DEC6D94">
      <w:start w:val="1"/>
      <w:numFmt w:val="decimal"/>
      <w:lvlText w:val="%7"/>
      <w:lvlJc w:val="left"/>
      <w:pPr>
        <w:ind w:left="55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FF25144">
      <w:start w:val="1"/>
      <w:numFmt w:val="lowerLetter"/>
      <w:lvlText w:val="%8"/>
      <w:lvlJc w:val="left"/>
      <w:pPr>
        <w:ind w:left="63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55ED318">
      <w:start w:val="1"/>
      <w:numFmt w:val="lowerRoman"/>
      <w:lvlText w:val="%9"/>
      <w:lvlJc w:val="left"/>
      <w:pPr>
        <w:ind w:left="70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17973BB6"/>
    <w:multiLevelType w:val="hybridMultilevel"/>
    <w:tmpl w:val="DCA66FF8"/>
    <w:lvl w:ilvl="0" w:tplc="E066514C">
      <w:start w:val="1"/>
      <w:numFmt w:val="bullet"/>
      <w:lvlText w:val="-"/>
      <w:lvlJc w:val="left"/>
      <w:pPr>
        <w:ind w:left="5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1B61160">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E7444C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9AEA466">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8F80908">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2A8B92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B8AF138">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5C4778A">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186B982">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17BC3E10"/>
    <w:multiLevelType w:val="multilevel"/>
    <w:tmpl w:val="514C4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8130F"/>
    <w:multiLevelType w:val="multilevel"/>
    <w:tmpl w:val="B0FE8CD6"/>
    <w:lvl w:ilvl="0">
      <w:start w:val="2"/>
      <w:numFmt w:val="decimal"/>
      <w:lvlText w:val="%1."/>
      <w:lvlJc w:val="left"/>
      <w:pPr>
        <w:ind w:left="83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272"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2">
      <w:start w:val="4"/>
      <w:numFmt w:val="upperRoman"/>
      <w:lvlText w:val="%3."/>
      <w:lvlJc w:val="left"/>
      <w:pPr>
        <w:ind w:left="244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7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4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3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04F28EE"/>
    <w:multiLevelType w:val="hybridMultilevel"/>
    <w:tmpl w:val="985EEB58"/>
    <w:lvl w:ilvl="0" w:tplc="D6D2E1A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8200B9F"/>
    <w:multiLevelType w:val="hybridMultilevel"/>
    <w:tmpl w:val="1FFC4BF8"/>
    <w:lvl w:ilvl="0" w:tplc="FA08A5D6">
      <w:start w:val="1"/>
      <w:numFmt w:val="decimal"/>
      <w:lvlText w:val="%1."/>
      <w:lvlJc w:val="left"/>
      <w:pPr>
        <w:ind w:left="3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3E8D8A4">
      <w:start w:val="1"/>
      <w:numFmt w:val="lowerLetter"/>
      <w:lvlText w:val="%2"/>
      <w:lvlJc w:val="left"/>
      <w:pPr>
        <w:ind w:left="17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31CC502">
      <w:start w:val="1"/>
      <w:numFmt w:val="lowerRoman"/>
      <w:lvlText w:val="%3"/>
      <w:lvlJc w:val="left"/>
      <w:pPr>
        <w:ind w:left="25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3B661BA">
      <w:start w:val="1"/>
      <w:numFmt w:val="decimal"/>
      <w:lvlText w:val="%4"/>
      <w:lvlJc w:val="left"/>
      <w:pPr>
        <w:ind w:left="32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87A6204">
      <w:start w:val="1"/>
      <w:numFmt w:val="lowerLetter"/>
      <w:lvlText w:val="%5"/>
      <w:lvlJc w:val="left"/>
      <w:pPr>
        <w:ind w:left="39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54C8FD8">
      <w:start w:val="1"/>
      <w:numFmt w:val="lowerRoman"/>
      <w:lvlText w:val="%6"/>
      <w:lvlJc w:val="left"/>
      <w:pPr>
        <w:ind w:left="46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BF00598">
      <w:start w:val="1"/>
      <w:numFmt w:val="decimal"/>
      <w:lvlText w:val="%7"/>
      <w:lvlJc w:val="left"/>
      <w:pPr>
        <w:ind w:left="53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CE03232">
      <w:start w:val="1"/>
      <w:numFmt w:val="lowerLetter"/>
      <w:lvlText w:val="%8"/>
      <w:lvlJc w:val="left"/>
      <w:pPr>
        <w:ind w:left="61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6D2E83E">
      <w:start w:val="1"/>
      <w:numFmt w:val="lowerRoman"/>
      <w:lvlText w:val="%9"/>
      <w:lvlJc w:val="left"/>
      <w:pPr>
        <w:ind w:left="68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FA6356F"/>
    <w:multiLevelType w:val="hybridMultilevel"/>
    <w:tmpl w:val="348C3B5C"/>
    <w:lvl w:ilvl="0" w:tplc="86BAEDF6">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74EC32">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FC438FC">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296C630">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8D45744">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C04CA2E">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04C122">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61EB704">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620B288">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499067A"/>
    <w:multiLevelType w:val="hybridMultilevel"/>
    <w:tmpl w:val="CCC4FD8C"/>
    <w:lvl w:ilvl="0" w:tplc="898664C8">
      <w:numFmt w:val="bullet"/>
      <w:lvlText w:val=""/>
      <w:lvlJc w:val="left"/>
      <w:pPr>
        <w:ind w:left="408" w:hanging="360"/>
      </w:pPr>
      <w:rPr>
        <w:rFonts w:ascii="Symbol" w:eastAsia="Times New Roman" w:hAnsi="Symbol" w:cs="Times New Roman"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9" w15:restartNumberingAfterBreak="0">
    <w:nsid w:val="37A457AE"/>
    <w:multiLevelType w:val="hybridMultilevel"/>
    <w:tmpl w:val="F8903D36"/>
    <w:lvl w:ilvl="0" w:tplc="CAC0D70C">
      <w:start w:val="1"/>
      <w:numFmt w:val="bullet"/>
      <w:lvlText w:val="-"/>
      <w:lvlJc w:val="left"/>
      <w:pPr>
        <w:ind w:left="7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6BC11D6">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E7CE182">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2326056">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058D4EC">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CA1DBA">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F4EF20E">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9FA7654">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39CDD42">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37F906BC"/>
    <w:multiLevelType w:val="hybridMultilevel"/>
    <w:tmpl w:val="F0B876D4"/>
    <w:lvl w:ilvl="0" w:tplc="159EB776">
      <w:start w:val="1"/>
      <w:numFmt w:val="decimal"/>
      <w:lvlText w:val="%1)"/>
      <w:lvlJc w:val="left"/>
      <w:pPr>
        <w:ind w:left="3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1D63EB8">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27C8D24">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0D00CB4">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AE2FAF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778F45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9700288">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86C06A4">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2CB64C">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D7C00B3"/>
    <w:multiLevelType w:val="hybridMultilevel"/>
    <w:tmpl w:val="0CEAC980"/>
    <w:lvl w:ilvl="0" w:tplc="BB1A636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C266150">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1F48D18">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0485C08">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2828258">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E7096AE">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8546300">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07C1DD6">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A242902">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E8D3F60"/>
    <w:multiLevelType w:val="hybridMultilevel"/>
    <w:tmpl w:val="E9DC45C8"/>
    <w:lvl w:ilvl="0" w:tplc="62FE0A92">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9B809AC">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EEC6EE">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2ACA0F6">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36E80FA">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9C06780">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9AAD12A">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1059AC">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0FCB352">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34F3C19"/>
    <w:multiLevelType w:val="multilevel"/>
    <w:tmpl w:val="A9A25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A3B31"/>
    <w:multiLevelType w:val="hybridMultilevel"/>
    <w:tmpl w:val="D1B8F952"/>
    <w:lvl w:ilvl="0" w:tplc="7E8057E6">
      <w:start w:val="1"/>
      <w:numFmt w:val="bullet"/>
      <w:lvlText w:val=""/>
      <w:lvlJc w:val="left"/>
      <w:pPr>
        <w:ind w:left="1560" w:hanging="360"/>
      </w:pPr>
      <w:rPr>
        <w:rFonts w:ascii="Symbol" w:hAnsi="Symbol" w:hint="default"/>
      </w:rPr>
    </w:lvl>
    <w:lvl w:ilvl="1" w:tplc="7E8057E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C625413"/>
    <w:multiLevelType w:val="hybridMultilevel"/>
    <w:tmpl w:val="2AEABFDA"/>
    <w:lvl w:ilvl="0" w:tplc="C5D87428">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CF4DF36">
      <w:start w:val="1"/>
      <w:numFmt w:val="bullet"/>
      <w:lvlText w:val="o"/>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AFA5D10">
      <w:start w:val="1"/>
      <w:numFmt w:val="bullet"/>
      <w:lvlText w:val="▪"/>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ECC9A08">
      <w:start w:val="1"/>
      <w:numFmt w:val="bullet"/>
      <w:lvlText w:val="•"/>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76860C2">
      <w:start w:val="1"/>
      <w:numFmt w:val="bullet"/>
      <w:lvlText w:val="o"/>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9C076D2">
      <w:start w:val="1"/>
      <w:numFmt w:val="bullet"/>
      <w:lvlText w:val="▪"/>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6BC8834">
      <w:start w:val="1"/>
      <w:numFmt w:val="bullet"/>
      <w:lvlText w:val="•"/>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BF064F8">
      <w:start w:val="1"/>
      <w:numFmt w:val="bullet"/>
      <w:lvlText w:val="o"/>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77A2A68">
      <w:start w:val="1"/>
      <w:numFmt w:val="bullet"/>
      <w:lvlText w:val="▪"/>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E577B3B"/>
    <w:multiLevelType w:val="hybridMultilevel"/>
    <w:tmpl w:val="BC1C033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E5D732A"/>
    <w:multiLevelType w:val="hybridMultilevel"/>
    <w:tmpl w:val="D1228220"/>
    <w:lvl w:ilvl="0" w:tplc="95D0E138">
      <w:start w:val="1"/>
      <w:numFmt w:val="bullet"/>
      <w:lvlText w:val="-"/>
      <w:lvlJc w:val="left"/>
      <w:pPr>
        <w:ind w:left="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6B0DC84">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7407C36">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7529420">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6F8A192">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B767814">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2E67B36">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1FE1DEC">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4F45E60">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0833FAB"/>
    <w:multiLevelType w:val="hybridMultilevel"/>
    <w:tmpl w:val="6AD4D890"/>
    <w:lvl w:ilvl="0" w:tplc="BFBAE394">
      <w:start w:val="4"/>
      <w:numFmt w:val="upperRoman"/>
      <w:lvlText w:val="%1."/>
      <w:lvlJc w:val="left"/>
      <w:pPr>
        <w:ind w:left="24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9A7D3E">
      <w:start w:val="1"/>
      <w:numFmt w:val="lowerLetter"/>
      <w:lvlText w:val="%2"/>
      <w:lvlJc w:val="left"/>
      <w:pPr>
        <w:ind w:left="17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2564D4D8">
      <w:start w:val="1"/>
      <w:numFmt w:val="lowerRoman"/>
      <w:lvlText w:val="%3"/>
      <w:lvlJc w:val="left"/>
      <w:pPr>
        <w:ind w:left="24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1FBE374C">
      <w:start w:val="1"/>
      <w:numFmt w:val="decimal"/>
      <w:lvlText w:val="%4"/>
      <w:lvlJc w:val="left"/>
      <w:pPr>
        <w:ind w:left="31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CF12823E">
      <w:start w:val="1"/>
      <w:numFmt w:val="lowerLetter"/>
      <w:lvlText w:val="%5"/>
      <w:lvlJc w:val="left"/>
      <w:pPr>
        <w:ind w:left="38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F3C0BC28">
      <w:start w:val="1"/>
      <w:numFmt w:val="lowerRoman"/>
      <w:lvlText w:val="%6"/>
      <w:lvlJc w:val="left"/>
      <w:pPr>
        <w:ind w:left="46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BC907534">
      <w:start w:val="1"/>
      <w:numFmt w:val="decimal"/>
      <w:lvlText w:val="%7"/>
      <w:lvlJc w:val="left"/>
      <w:pPr>
        <w:ind w:left="53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EB1E7D3C">
      <w:start w:val="1"/>
      <w:numFmt w:val="lowerLetter"/>
      <w:lvlText w:val="%8"/>
      <w:lvlJc w:val="left"/>
      <w:pPr>
        <w:ind w:left="60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E9CE0E64">
      <w:start w:val="1"/>
      <w:numFmt w:val="lowerRoman"/>
      <w:lvlText w:val="%9"/>
      <w:lvlJc w:val="left"/>
      <w:pPr>
        <w:ind w:left="67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622579CC"/>
    <w:multiLevelType w:val="multilevel"/>
    <w:tmpl w:val="3E1ACC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4E3793"/>
    <w:multiLevelType w:val="hybridMultilevel"/>
    <w:tmpl w:val="87F2BEB0"/>
    <w:lvl w:ilvl="0" w:tplc="11148D2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BAA53DE">
      <w:start w:val="1"/>
      <w:numFmt w:val="lowerLetter"/>
      <w:lvlText w:val="%2"/>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BF85D0C">
      <w:start w:val="1"/>
      <w:numFmt w:val="lowerRoman"/>
      <w:lvlText w:val="%3"/>
      <w:lvlJc w:val="left"/>
      <w:pPr>
        <w:ind w:left="24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D6CDFAC">
      <w:start w:val="1"/>
      <w:numFmt w:val="decimal"/>
      <w:lvlText w:val="%4"/>
      <w:lvlJc w:val="left"/>
      <w:pPr>
        <w:ind w:left="31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77C366E">
      <w:start w:val="1"/>
      <w:numFmt w:val="lowerLetter"/>
      <w:lvlText w:val="%5"/>
      <w:lvlJc w:val="left"/>
      <w:pPr>
        <w:ind w:left="38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A44B9B0">
      <w:start w:val="1"/>
      <w:numFmt w:val="lowerRoman"/>
      <w:lvlText w:val="%6"/>
      <w:lvlJc w:val="left"/>
      <w:pPr>
        <w:ind w:left="45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5B06770">
      <w:start w:val="1"/>
      <w:numFmt w:val="decimal"/>
      <w:lvlText w:val="%7"/>
      <w:lvlJc w:val="left"/>
      <w:pPr>
        <w:ind w:left="53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13408EA">
      <w:start w:val="1"/>
      <w:numFmt w:val="lowerLetter"/>
      <w:lvlText w:val="%8"/>
      <w:lvlJc w:val="left"/>
      <w:pPr>
        <w:ind w:left="60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900EDD4">
      <w:start w:val="1"/>
      <w:numFmt w:val="lowerRoman"/>
      <w:lvlText w:val="%9"/>
      <w:lvlJc w:val="left"/>
      <w:pPr>
        <w:ind w:left="67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717F73D2"/>
    <w:multiLevelType w:val="multilevel"/>
    <w:tmpl w:val="ABFA4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B9155A"/>
    <w:multiLevelType w:val="multilevel"/>
    <w:tmpl w:val="BE9AC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C43ADD"/>
    <w:multiLevelType w:val="hybridMultilevel"/>
    <w:tmpl w:val="DFBA671A"/>
    <w:lvl w:ilvl="0" w:tplc="D85834DC">
      <w:start w:val="8"/>
      <w:numFmt w:val="upperRoman"/>
      <w:lvlText w:val="%1."/>
      <w:lvlJc w:val="left"/>
      <w:pPr>
        <w:ind w:left="225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5DEEF25A">
      <w:start w:val="1"/>
      <w:numFmt w:val="lowerLetter"/>
      <w:lvlText w:val="%2"/>
      <w:lvlJc w:val="left"/>
      <w:pPr>
        <w:ind w:left="266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F93AAD80">
      <w:start w:val="1"/>
      <w:numFmt w:val="lowerRoman"/>
      <w:lvlText w:val="%3"/>
      <w:lvlJc w:val="left"/>
      <w:pPr>
        <w:ind w:left="338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A0068BE4">
      <w:start w:val="1"/>
      <w:numFmt w:val="decimal"/>
      <w:lvlText w:val="%4"/>
      <w:lvlJc w:val="left"/>
      <w:pPr>
        <w:ind w:left="410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51B278E8">
      <w:start w:val="1"/>
      <w:numFmt w:val="lowerLetter"/>
      <w:lvlText w:val="%5"/>
      <w:lvlJc w:val="left"/>
      <w:pPr>
        <w:ind w:left="482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F1C6E224">
      <w:start w:val="1"/>
      <w:numFmt w:val="lowerRoman"/>
      <w:lvlText w:val="%6"/>
      <w:lvlJc w:val="left"/>
      <w:pPr>
        <w:ind w:left="554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44AE1F6E">
      <w:start w:val="1"/>
      <w:numFmt w:val="decimal"/>
      <w:lvlText w:val="%7"/>
      <w:lvlJc w:val="left"/>
      <w:pPr>
        <w:ind w:left="626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FA6460C">
      <w:start w:val="1"/>
      <w:numFmt w:val="lowerLetter"/>
      <w:lvlText w:val="%8"/>
      <w:lvlJc w:val="left"/>
      <w:pPr>
        <w:ind w:left="698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B2060A7E">
      <w:start w:val="1"/>
      <w:numFmt w:val="lowerRoman"/>
      <w:lvlText w:val="%9"/>
      <w:lvlJc w:val="left"/>
      <w:pPr>
        <w:ind w:left="770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24" w15:restartNumberingAfterBreak="0">
    <w:nsid w:val="7B985C88"/>
    <w:multiLevelType w:val="multilevel"/>
    <w:tmpl w:val="14F8E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3"/>
  </w:num>
  <w:num w:numId="3">
    <w:abstractNumId w:val="21"/>
  </w:num>
  <w:num w:numId="4">
    <w:abstractNumId w:val="22"/>
  </w:num>
  <w:num w:numId="5">
    <w:abstractNumId w:val="24"/>
  </w:num>
  <w:num w:numId="6">
    <w:abstractNumId w:val="3"/>
  </w:num>
  <w:num w:numId="7">
    <w:abstractNumId w:val="8"/>
  </w:num>
  <w:num w:numId="8">
    <w:abstractNumId w:val="5"/>
  </w:num>
  <w:num w:numId="9">
    <w:abstractNumId w:val="16"/>
  </w:num>
  <w:num w:numId="10">
    <w:abstractNumId w:val="14"/>
  </w:num>
  <w:num w:numId="11">
    <w:abstractNumId w:val="2"/>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1"/>
  </w:num>
  <w:num w:numId="17">
    <w:abstractNumId w:val="12"/>
  </w:num>
  <w:num w:numId="18">
    <w:abstractNumId w:val="17"/>
  </w:num>
  <w:num w:numId="19">
    <w:abstractNumId w:val="9"/>
  </w:num>
  <w:num w:numId="2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72"/>
    <w:rsid w:val="00010AEA"/>
    <w:rsid w:val="0006033F"/>
    <w:rsid w:val="00062B28"/>
    <w:rsid w:val="000717A4"/>
    <w:rsid w:val="00075DBF"/>
    <w:rsid w:val="00083017"/>
    <w:rsid w:val="000B030C"/>
    <w:rsid w:val="000D6843"/>
    <w:rsid w:val="000E44A9"/>
    <w:rsid w:val="000E473A"/>
    <w:rsid w:val="000F329F"/>
    <w:rsid w:val="00115027"/>
    <w:rsid w:val="00147470"/>
    <w:rsid w:val="00156B39"/>
    <w:rsid w:val="0017308A"/>
    <w:rsid w:val="001939B6"/>
    <w:rsid w:val="00197230"/>
    <w:rsid w:val="001B4F46"/>
    <w:rsid w:val="001B67B2"/>
    <w:rsid w:val="001C5787"/>
    <w:rsid w:val="001E0E7B"/>
    <w:rsid w:val="001F4AF9"/>
    <w:rsid w:val="00207EAE"/>
    <w:rsid w:val="0021676D"/>
    <w:rsid w:val="00217549"/>
    <w:rsid w:val="002305E0"/>
    <w:rsid w:val="00267058"/>
    <w:rsid w:val="002865D4"/>
    <w:rsid w:val="002A6C75"/>
    <w:rsid w:val="002B6B5C"/>
    <w:rsid w:val="002B7778"/>
    <w:rsid w:val="002B7D2A"/>
    <w:rsid w:val="002C55EF"/>
    <w:rsid w:val="002E5124"/>
    <w:rsid w:val="002F0749"/>
    <w:rsid w:val="00306460"/>
    <w:rsid w:val="003251B9"/>
    <w:rsid w:val="00372F45"/>
    <w:rsid w:val="00373827"/>
    <w:rsid w:val="00391408"/>
    <w:rsid w:val="00394768"/>
    <w:rsid w:val="003B0E9E"/>
    <w:rsid w:val="003B67FA"/>
    <w:rsid w:val="003D6C14"/>
    <w:rsid w:val="003E6D49"/>
    <w:rsid w:val="00417AB2"/>
    <w:rsid w:val="00417E71"/>
    <w:rsid w:val="00472424"/>
    <w:rsid w:val="00481600"/>
    <w:rsid w:val="0049030E"/>
    <w:rsid w:val="004911B6"/>
    <w:rsid w:val="004D3620"/>
    <w:rsid w:val="00530E58"/>
    <w:rsid w:val="00534E24"/>
    <w:rsid w:val="00545C42"/>
    <w:rsid w:val="00551BC0"/>
    <w:rsid w:val="0055610F"/>
    <w:rsid w:val="00573D8F"/>
    <w:rsid w:val="005809E3"/>
    <w:rsid w:val="0058724B"/>
    <w:rsid w:val="00605C72"/>
    <w:rsid w:val="0061496A"/>
    <w:rsid w:val="00620527"/>
    <w:rsid w:val="00623E18"/>
    <w:rsid w:val="0062713D"/>
    <w:rsid w:val="006315E7"/>
    <w:rsid w:val="00663AED"/>
    <w:rsid w:val="006841F8"/>
    <w:rsid w:val="006A1EEA"/>
    <w:rsid w:val="006B148D"/>
    <w:rsid w:val="006B1CC4"/>
    <w:rsid w:val="006B4E23"/>
    <w:rsid w:val="006C1C11"/>
    <w:rsid w:val="006C2B2A"/>
    <w:rsid w:val="006C2FA4"/>
    <w:rsid w:val="006C626F"/>
    <w:rsid w:val="007029A9"/>
    <w:rsid w:val="00710DED"/>
    <w:rsid w:val="00711CC9"/>
    <w:rsid w:val="00720064"/>
    <w:rsid w:val="00743526"/>
    <w:rsid w:val="007B224A"/>
    <w:rsid w:val="00807535"/>
    <w:rsid w:val="00813817"/>
    <w:rsid w:val="008154D3"/>
    <w:rsid w:val="00893501"/>
    <w:rsid w:val="008A4250"/>
    <w:rsid w:val="008C2BE9"/>
    <w:rsid w:val="008C7885"/>
    <w:rsid w:val="008D4C78"/>
    <w:rsid w:val="008D52FB"/>
    <w:rsid w:val="008F7284"/>
    <w:rsid w:val="00910550"/>
    <w:rsid w:val="00924FF7"/>
    <w:rsid w:val="00930FAB"/>
    <w:rsid w:val="00935E8C"/>
    <w:rsid w:val="009418B3"/>
    <w:rsid w:val="009477E7"/>
    <w:rsid w:val="00982207"/>
    <w:rsid w:val="009C3ACD"/>
    <w:rsid w:val="00A00AC3"/>
    <w:rsid w:val="00A07B75"/>
    <w:rsid w:val="00A11E6B"/>
    <w:rsid w:val="00A14B6B"/>
    <w:rsid w:val="00A17C07"/>
    <w:rsid w:val="00A31937"/>
    <w:rsid w:val="00A51AD5"/>
    <w:rsid w:val="00A74800"/>
    <w:rsid w:val="00A81310"/>
    <w:rsid w:val="00A820E9"/>
    <w:rsid w:val="00AE1414"/>
    <w:rsid w:val="00AE2C7B"/>
    <w:rsid w:val="00AF380C"/>
    <w:rsid w:val="00B15D8A"/>
    <w:rsid w:val="00B5335D"/>
    <w:rsid w:val="00B67A5D"/>
    <w:rsid w:val="00B7255F"/>
    <w:rsid w:val="00B836CC"/>
    <w:rsid w:val="00BA05CE"/>
    <w:rsid w:val="00BA1BA2"/>
    <w:rsid w:val="00BB208E"/>
    <w:rsid w:val="00BC7225"/>
    <w:rsid w:val="00BE6FB8"/>
    <w:rsid w:val="00BF6629"/>
    <w:rsid w:val="00C957CD"/>
    <w:rsid w:val="00CA7157"/>
    <w:rsid w:val="00CB4F0C"/>
    <w:rsid w:val="00CD224A"/>
    <w:rsid w:val="00CD3279"/>
    <w:rsid w:val="00D14A1D"/>
    <w:rsid w:val="00D545D7"/>
    <w:rsid w:val="00D762F4"/>
    <w:rsid w:val="00DA0A81"/>
    <w:rsid w:val="00DC5006"/>
    <w:rsid w:val="00DC5CBE"/>
    <w:rsid w:val="00DD3087"/>
    <w:rsid w:val="00DF79AB"/>
    <w:rsid w:val="00E31FE5"/>
    <w:rsid w:val="00EA43FA"/>
    <w:rsid w:val="00EB56C8"/>
    <w:rsid w:val="00EC259E"/>
    <w:rsid w:val="00EC304E"/>
    <w:rsid w:val="00EE4968"/>
    <w:rsid w:val="00EE6ECE"/>
    <w:rsid w:val="00EF42C3"/>
    <w:rsid w:val="00F14882"/>
    <w:rsid w:val="00F25036"/>
    <w:rsid w:val="00FC1610"/>
    <w:rsid w:val="00FE52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DDD907"/>
  <w15:docId w15:val="{6AF3736C-0342-468D-BFE4-18C706F1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07535"/>
    <w:rPr>
      <w:color w:val="000000"/>
    </w:rPr>
  </w:style>
  <w:style w:type="paragraph" w:styleId="1">
    <w:name w:val="heading 1"/>
    <w:next w:val="a"/>
    <w:link w:val="10"/>
    <w:uiPriority w:val="9"/>
    <w:qFormat/>
    <w:rsid w:val="00B836CC"/>
    <w:pPr>
      <w:keepNext/>
      <w:keepLines/>
      <w:widowControl/>
      <w:spacing w:line="268" w:lineRule="auto"/>
      <w:ind w:left="10" w:right="4" w:hanging="10"/>
      <w:jc w:val="center"/>
      <w:outlineLvl w:val="0"/>
    </w:pPr>
    <w:rPr>
      <w:rFonts w:ascii="Times New Roman" w:eastAsia="Times New Roman" w:hAnsi="Times New Roman" w:cs="Times New Roman"/>
      <w:b/>
      <w:color w:val="000000"/>
      <w:sz w:val="28"/>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31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300"/>
      <w:jc w:val="center"/>
    </w:pPr>
    <w:rPr>
      <w:rFonts w:ascii="Times New Roman" w:eastAsia="Times New Roman" w:hAnsi="Times New Roman" w:cs="Times New Roman"/>
    </w:rPr>
  </w:style>
  <w:style w:type="paragraph" w:customStyle="1" w:styleId="22">
    <w:name w:val="Основной текст (2)"/>
    <w:basedOn w:val="a"/>
    <w:link w:val="21"/>
    <w:pPr>
      <w:spacing w:after="600"/>
    </w:pPr>
    <w:rPr>
      <w:rFonts w:ascii="Times New Roman" w:eastAsia="Times New Roman" w:hAnsi="Times New Roman" w:cs="Times New Roman"/>
      <w:sz w:val="20"/>
      <w:szCs w:val="20"/>
    </w:rPr>
  </w:style>
  <w:style w:type="paragraph" w:styleId="a8">
    <w:name w:val="header"/>
    <w:basedOn w:val="a"/>
    <w:link w:val="a9"/>
    <w:uiPriority w:val="99"/>
    <w:unhideWhenUsed/>
    <w:rsid w:val="00EE4968"/>
    <w:pPr>
      <w:tabs>
        <w:tab w:val="center" w:pos="4677"/>
        <w:tab w:val="right" w:pos="9355"/>
      </w:tabs>
    </w:pPr>
  </w:style>
  <w:style w:type="character" w:customStyle="1" w:styleId="a9">
    <w:name w:val="Верхний колонтитул Знак"/>
    <w:basedOn w:val="a0"/>
    <w:link w:val="a8"/>
    <w:uiPriority w:val="99"/>
    <w:rsid w:val="00EE4968"/>
    <w:rPr>
      <w:color w:val="000000"/>
    </w:rPr>
  </w:style>
  <w:style w:type="paragraph" w:styleId="aa">
    <w:name w:val="footer"/>
    <w:basedOn w:val="a"/>
    <w:link w:val="ab"/>
    <w:uiPriority w:val="99"/>
    <w:unhideWhenUsed/>
    <w:rsid w:val="00EE4968"/>
    <w:pPr>
      <w:tabs>
        <w:tab w:val="center" w:pos="4677"/>
        <w:tab w:val="right" w:pos="9355"/>
      </w:tabs>
    </w:pPr>
  </w:style>
  <w:style w:type="character" w:customStyle="1" w:styleId="ab">
    <w:name w:val="Нижний колонтитул Знак"/>
    <w:basedOn w:val="a0"/>
    <w:link w:val="aa"/>
    <w:uiPriority w:val="99"/>
    <w:rsid w:val="00EE4968"/>
    <w:rPr>
      <w:color w:val="000000"/>
    </w:rPr>
  </w:style>
  <w:style w:type="character" w:customStyle="1" w:styleId="10">
    <w:name w:val="Заголовок 1 Знак"/>
    <w:basedOn w:val="a0"/>
    <w:link w:val="1"/>
    <w:uiPriority w:val="9"/>
    <w:rsid w:val="00B836CC"/>
    <w:rPr>
      <w:rFonts w:ascii="Times New Roman" w:eastAsia="Times New Roman" w:hAnsi="Times New Roman" w:cs="Times New Roman"/>
      <w:b/>
      <w:color w:val="000000"/>
      <w:sz w:val="28"/>
      <w:szCs w:val="22"/>
      <w:lang w:bidi="ar-SA"/>
    </w:rPr>
  </w:style>
  <w:style w:type="paragraph" w:styleId="ac">
    <w:name w:val="List Paragraph"/>
    <w:basedOn w:val="a"/>
    <w:uiPriority w:val="34"/>
    <w:qFormat/>
    <w:rsid w:val="00B836CC"/>
    <w:pPr>
      <w:ind w:left="720"/>
      <w:contextualSpacing/>
    </w:pPr>
  </w:style>
  <w:style w:type="table" w:customStyle="1" w:styleId="TableGrid">
    <w:name w:val="TableGrid"/>
    <w:rsid w:val="00BA05CE"/>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table" w:customStyle="1" w:styleId="TableGrid1">
    <w:name w:val="TableGrid1"/>
    <w:rsid w:val="006A1EEA"/>
    <w:pPr>
      <w:widowControl/>
    </w:pPr>
    <w:rPr>
      <w:rFonts w:ascii="Calibri" w:eastAsia="Times New Roman" w:hAnsi="Calibri" w:cs="Times New Roman"/>
      <w:sz w:val="22"/>
      <w:szCs w:val="22"/>
      <w:lang w:bidi="ar-SA"/>
    </w:rPr>
    <w:tblPr>
      <w:tblCellMar>
        <w:top w:w="0" w:type="dxa"/>
        <w:left w:w="0" w:type="dxa"/>
        <w:bottom w:w="0" w:type="dxa"/>
        <w:right w:w="0" w:type="dxa"/>
      </w:tblCellMar>
    </w:tblPr>
  </w:style>
  <w:style w:type="table" w:customStyle="1" w:styleId="TableGrid2">
    <w:name w:val="TableGrid2"/>
    <w:rsid w:val="00EC259E"/>
    <w:pPr>
      <w:widowControl/>
    </w:pPr>
    <w:rPr>
      <w:rFonts w:ascii="Calibri" w:eastAsia="Times New Roman" w:hAnsi="Calibri" w:cs="Times New Roman"/>
      <w:sz w:val="22"/>
      <w:szCs w:val="22"/>
      <w:lang w:bidi="ar-SA"/>
    </w:rPr>
    <w:tblPr>
      <w:tblCellMar>
        <w:top w:w="0" w:type="dxa"/>
        <w:left w:w="0" w:type="dxa"/>
        <w:bottom w:w="0" w:type="dxa"/>
        <w:right w:w="0" w:type="dxa"/>
      </w:tblCellMar>
    </w:tblPr>
  </w:style>
  <w:style w:type="character" w:customStyle="1" w:styleId="rvts0">
    <w:name w:val="rvts0"/>
    <w:basedOn w:val="a0"/>
    <w:rsid w:val="009477E7"/>
  </w:style>
  <w:style w:type="paragraph" w:customStyle="1" w:styleId="14">
    <w:name w:val="Таймс 14"/>
    <w:basedOn w:val="a"/>
    <w:qFormat/>
    <w:rsid w:val="00BE6FB8"/>
    <w:pPr>
      <w:widowControl/>
      <w:spacing w:after="15"/>
      <w:ind w:left="-15" w:firstLine="710"/>
      <w:jc w:val="both"/>
    </w:pPr>
    <w:rPr>
      <w:rFonts w:ascii="Times New Roman" w:eastAsia="Times New Roman" w:hAnsi="Times New Roman" w:cs="Times New Roman"/>
      <w:sz w:val="28"/>
      <w:szCs w:val="22"/>
      <w:lang w:bidi="ar-SA"/>
    </w:rPr>
  </w:style>
  <w:style w:type="paragraph" w:styleId="ad">
    <w:name w:val="No Spacing"/>
    <w:uiPriority w:val="1"/>
    <w:qFormat/>
    <w:rsid w:val="00BE6FB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281">
      <w:bodyDiv w:val="1"/>
      <w:marLeft w:val="0"/>
      <w:marRight w:val="0"/>
      <w:marTop w:val="0"/>
      <w:marBottom w:val="0"/>
      <w:divBdr>
        <w:top w:val="none" w:sz="0" w:space="0" w:color="auto"/>
        <w:left w:val="none" w:sz="0" w:space="0" w:color="auto"/>
        <w:bottom w:val="none" w:sz="0" w:space="0" w:color="auto"/>
        <w:right w:val="none" w:sz="0" w:space="0" w:color="auto"/>
      </w:divBdr>
    </w:div>
    <w:div w:id="389966848">
      <w:bodyDiv w:val="1"/>
      <w:marLeft w:val="0"/>
      <w:marRight w:val="0"/>
      <w:marTop w:val="0"/>
      <w:marBottom w:val="0"/>
      <w:divBdr>
        <w:top w:val="none" w:sz="0" w:space="0" w:color="auto"/>
        <w:left w:val="none" w:sz="0" w:space="0" w:color="auto"/>
        <w:bottom w:val="none" w:sz="0" w:space="0" w:color="auto"/>
        <w:right w:val="none" w:sz="0" w:space="0" w:color="auto"/>
      </w:divBdr>
    </w:div>
    <w:div w:id="496070694">
      <w:bodyDiv w:val="1"/>
      <w:marLeft w:val="0"/>
      <w:marRight w:val="0"/>
      <w:marTop w:val="0"/>
      <w:marBottom w:val="0"/>
      <w:divBdr>
        <w:top w:val="none" w:sz="0" w:space="0" w:color="auto"/>
        <w:left w:val="none" w:sz="0" w:space="0" w:color="auto"/>
        <w:bottom w:val="none" w:sz="0" w:space="0" w:color="auto"/>
        <w:right w:val="none" w:sz="0" w:space="0" w:color="auto"/>
      </w:divBdr>
    </w:div>
    <w:div w:id="526647316">
      <w:bodyDiv w:val="1"/>
      <w:marLeft w:val="0"/>
      <w:marRight w:val="0"/>
      <w:marTop w:val="0"/>
      <w:marBottom w:val="0"/>
      <w:divBdr>
        <w:top w:val="none" w:sz="0" w:space="0" w:color="auto"/>
        <w:left w:val="none" w:sz="0" w:space="0" w:color="auto"/>
        <w:bottom w:val="none" w:sz="0" w:space="0" w:color="auto"/>
        <w:right w:val="none" w:sz="0" w:space="0" w:color="auto"/>
      </w:divBdr>
    </w:div>
    <w:div w:id="576401858">
      <w:bodyDiv w:val="1"/>
      <w:marLeft w:val="0"/>
      <w:marRight w:val="0"/>
      <w:marTop w:val="0"/>
      <w:marBottom w:val="0"/>
      <w:divBdr>
        <w:top w:val="none" w:sz="0" w:space="0" w:color="auto"/>
        <w:left w:val="none" w:sz="0" w:space="0" w:color="auto"/>
        <w:bottom w:val="none" w:sz="0" w:space="0" w:color="auto"/>
        <w:right w:val="none" w:sz="0" w:space="0" w:color="auto"/>
      </w:divBdr>
    </w:div>
    <w:div w:id="597907584">
      <w:bodyDiv w:val="1"/>
      <w:marLeft w:val="0"/>
      <w:marRight w:val="0"/>
      <w:marTop w:val="0"/>
      <w:marBottom w:val="0"/>
      <w:divBdr>
        <w:top w:val="none" w:sz="0" w:space="0" w:color="auto"/>
        <w:left w:val="none" w:sz="0" w:space="0" w:color="auto"/>
        <w:bottom w:val="none" w:sz="0" w:space="0" w:color="auto"/>
        <w:right w:val="none" w:sz="0" w:space="0" w:color="auto"/>
      </w:divBdr>
    </w:div>
    <w:div w:id="608197977">
      <w:bodyDiv w:val="1"/>
      <w:marLeft w:val="0"/>
      <w:marRight w:val="0"/>
      <w:marTop w:val="0"/>
      <w:marBottom w:val="0"/>
      <w:divBdr>
        <w:top w:val="none" w:sz="0" w:space="0" w:color="auto"/>
        <w:left w:val="none" w:sz="0" w:space="0" w:color="auto"/>
        <w:bottom w:val="none" w:sz="0" w:space="0" w:color="auto"/>
        <w:right w:val="none" w:sz="0" w:space="0" w:color="auto"/>
      </w:divBdr>
    </w:div>
    <w:div w:id="785580158">
      <w:bodyDiv w:val="1"/>
      <w:marLeft w:val="0"/>
      <w:marRight w:val="0"/>
      <w:marTop w:val="0"/>
      <w:marBottom w:val="0"/>
      <w:divBdr>
        <w:top w:val="none" w:sz="0" w:space="0" w:color="auto"/>
        <w:left w:val="none" w:sz="0" w:space="0" w:color="auto"/>
        <w:bottom w:val="none" w:sz="0" w:space="0" w:color="auto"/>
        <w:right w:val="none" w:sz="0" w:space="0" w:color="auto"/>
      </w:divBdr>
    </w:div>
    <w:div w:id="909655842">
      <w:bodyDiv w:val="1"/>
      <w:marLeft w:val="0"/>
      <w:marRight w:val="0"/>
      <w:marTop w:val="0"/>
      <w:marBottom w:val="0"/>
      <w:divBdr>
        <w:top w:val="none" w:sz="0" w:space="0" w:color="auto"/>
        <w:left w:val="none" w:sz="0" w:space="0" w:color="auto"/>
        <w:bottom w:val="none" w:sz="0" w:space="0" w:color="auto"/>
        <w:right w:val="none" w:sz="0" w:space="0" w:color="auto"/>
      </w:divBdr>
    </w:div>
    <w:div w:id="1024862753">
      <w:bodyDiv w:val="1"/>
      <w:marLeft w:val="0"/>
      <w:marRight w:val="0"/>
      <w:marTop w:val="0"/>
      <w:marBottom w:val="0"/>
      <w:divBdr>
        <w:top w:val="none" w:sz="0" w:space="0" w:color="auto"/>
        <w:left w:val="none" w:sz="0" w:space="0" w:color="auto"/>
        <w:bottom w:val="none" w:sz="0" w:space="0" w:color="auto"/>
        <w:right w:val="none" w:sz="0" w:space="0" w:color="auto"/>
      </w:divBdr>
    </w:div>
    <w:div w:id="1108500889">
      <w:bodyDiv w:val="1"/>
      <w:marLeft w:val="0"/>
      <w:marRight w:val="0"/>
      <w:marTop w:val="0"/>
      <w:marBottom w:val="0"/>
      <w:divBdr>
        <w:top w:val="none" w:sz="0" w:space="0" w:color="auto"/>
        <w:left w:val="none" w:sz="0" w:space="0" w:color="auto"/>
        <w:bottom w:val="none" w:sz="0" w:space="0" w:color="auto"/>
        <w:right w:val="none" w:sz="0" w:space="0" w:color="auto"/>
      </w:divBdr>
    </w:div>
    <w:div w:id="1215658029">
      <w:bodyDiv w:val="1"/>
      <w:marLeft w:val="0"/>
      <w:marRight w:val="0"/>
      <w:marTop w:val="0"/>
      <w:marBottom w:val="0"/>
      <w:divBdr>
        <w:top w:val="none" w:sz="0" w:space="0" w:color="auto"/>
        <w:left w:val="none" w:sz="0" w:space="0" w:color="auto"/>
        <w:bottom w:val="none" w:sz="0" w:space="0" w:color="auto"/>
        <w:right w:val="none" w:sz="0" w:space="0" w:color="auto"/>
      </w:divBdr>
    </w:div>
    <w:div w:id="1372877628">
      <w:bodyDiv w:val="1"/>
      <w:marLeft w:val="0"/>
      <w:marRight w:val="0"/>
      <w:marTop w:val="0"/>
      <w:marBottom w:val="0"/>
      <w:divBdr>
        <w:top w:val="none" w:sz="0" w:space="0" w:color="auto"/>
        <w:left w:val="none" w:sz="0" w:space="0" w:color="auto"/>
        <w:bottom w:val="none" w:sz="0" w:space="0" w:color="auto"/>
        <w:right w:val="none" w:sz="0" w:space="0" w:color="auto"/>
      </w:divBdr>
    </w:div>
    <w:div w:id="1402947301">
      <w:bodyDiv w:val="1"/>
      <w:marLeft w:val="0"/>
      <w:marRight w:val="0"/>
      <w:marTop w:val="0"/>
      <w:marBottom w:val="0"/>
      <w:divBdr>
        <w:top w:val="none" w:sz="0" w:space="0" w:color="auto"/>
        <w:left w:val="none" w:sz="0" w:space="0" w:color="auto"/>
        <w:bottom w:val="none" w:sz="0" w:space="0" w:color="auto"/>
        <w:right w:val="none" w:sz="0" w:space="0" w:color="auto"/>
      </w:divBdr>
    </w:div>
    <w:div w:id="1432966206">
      <w:bodyDiv w:val="1"/>
      <w:marLeft w:val="0"/>
      <w:marRight w:val="0"/>
      <w:marTop w:val="0"/>
      <w:marBottom w:val="0"/>
      <w:divBdr>
        <w:top w:val="none" w:sz="0" w:space="0" w:color="auto"/>
        <w:left w:val="none" w:sz="0" w:space="0" w:color="auto"/>
        <w:bottom w:val="none" w:sz="0" w:space="0" w:color="auto"/>
        <w:right w:val="none" w:sz="0" w:space="0" w:color="auto"/>
      </w:divBdr>
    </w:div>
    <w:div w:id="1455518840">
      <w:bodyDiv w:val="1"/>
      <w:marLeft w:val="0"/>
      <w:marRight w:val="0"/>
      <w:marTop w:val="0"/>
      <w:marBottom w:val="0"/>
      <w:divBdr>
        <w:top w:val="none" w:sz="0" w:space="0" w:color="auto"/>
        <w:left w:val="none" w:sz="0" w:space="0" w:color="auto"/>
        <w:bottom w:val="none" w:sz="0" w:space="0" w:color="auto"/>
        <w:right w:val="none" w:sz="0" w:space="0" w:color="auto"/>
      </w:divBdr>
    </w:div>
    <w:div w:id="1916352269">
      <w:bodyDiv w:val="1"/>
      <w:marLeft w:val="0"/>
      <w:marRight w:val="0"/>
      <w:marTop w:val="0"/>
      <w:marBottom w:val="0"/>
      <w:divBdr>
        <w:top w:val="none" w:sz="0" w:space="0" w:color="auto"/>
        <w:left w:val="none" w:sz="0" w:space="0" w:color="auto"/>
        <w:bottom w:val="none" w:sz="0" w:space="0" w:color="auto"/>
        <w:right w:val="none" w:sz="0" w:space="0" w:color="auto"/>
      </w:divBdr>
    </w:div>
    <w:div w:id="1937441914">
      <w:bodyDiv w:val="1"/>
      <w:marLeft w:val="0"/>
      <w:marRight w:val="0"/>
      <w:marTop w:val="0"/>
      <w:marBottom w:val="0"/>
      <w:divBdr>
        <w:top w:val="none" w:sz="0" w:space="0" w:color="auto"/>
        <w:left w:val="none" w:sz="0" w:space="0" w:color="auto"/>
        <w:bottom w:val="none" w:sz="0" w:space="0" w:color="auto"/>
        <w:right w:val="none" w:sz="0" w:space="0" w:color="auto"/>
      </w:divBdr>
    </w:div>
    <w:div w:id="2036811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F045-E6EE-4708-A916-502F1AD0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8723</Words>
  <Characters>4973</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Аналіз регуляторного впливу</vt:lpstr>
      <vt:lpstr>Аналіз регуляторного впливу</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aqua</dc:creator>
  <cp:keywords/>
  <cp:lastModifiedBy>Анастасия Тараканова</cp:lastModifiedBy>
  <cp:revision>17</cp:revision>
  <cp:lastPrinted>2021-12-10T11:48:00Z</cp:lastPrinted>
  <dcterms:created xsi:type="dcterms:W3CDTF">2021-11-18T07:27:00Z</dcterms:created>
  <dcterms:modified xsi:type="dcterms:W3CDTF">2021-12-10T13:55:00Z</dcterms:modified>
</cp:coreProperties>
</file>