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F1" w:rsidRDefault="005003F1" w:rsidP="00F7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АНАЛІЗ РЕГУЛЯТОРНОГО ВПЛИВУ</w:t>
      </w:r>
    </w:p>
    <w:p w:rsidR="00EC23F8" w:rsidRPr="00DB7884" w:rsidRDefault="00EC23F8" w:rsidP="00F75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03F1" w:rsidRPr="00DB7884" w:rsidRDefault="005003F1" w:rsidP="00F75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проекту розпорядження керівника</w:t>
      </w:r>
      <w:r w:rsidR="00ED678B"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D678B"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="00ED678B"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 в</w:t>
      </w:r>
      <w:r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ійсько</w:t>
      </w:r>
      <w:r w:rsidR="00ED678B"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во-цивільної адміністрації </w:t>
      </w:r>
      <w:r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</w:t>
      </w:r>
      <w:r w:rsidR="00ED678B"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ED678B"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району</w:t>
      </w:r>
      <w:r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Луганської області   «Про затвердження Порядку демонтажу тимчасових споруд, малих архітектурних форм та засобів пересувної мережі </w:t>
      </w:r>
      <w:r w:rsidR="00ED678B"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73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 </w:t>
      </w:r>
      <w:proofErr w:type="spellStart"/>
      <w:r w:rsidR="00873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Сєвєродонецькій</w:t>
      </w:r>
      <w:proofErr w:type="spellEnd"/>
      <w:r w:rsidR="00873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міській  територіальній громаді</w:t>
      </w:r>
      <w:r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FF2796" w:rsidRDefault="005003F1" w:rsidP="00FF279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 регуляторного впливу розроблено на виконання та з дотриманням вимог статті 8 Закону України від 11.09.2003 №1160-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засади державної регуляторної політики у сфері господарської діяльності» та з урахуванням Методики проведення аналізу впливу регуляторного акта, затвердженої Постановою Кабінету Міністрів України від 11.03.2004 № 308 (зі змінами, затвердженими Постановою Кабінету Міністрів України   від 16.12.2015 № 1151).</w:t>
      </w:r>
      <w:r w:rsidRPr="00DB788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 визначає правові та організаційні засади реалізації проекту вказаного регуляторного акта.</w:t>
      </w:r>
    </w:p>
    <w:p w:rsidR="00EC23F8" w:rsidRDefault="00EC23F8" w:rsidP="00FF279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2796" w:rsidRDefault="00FF2796" w:rsidP="00FF2796">
      <w:pPr>
        <w:spacing w:after="119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5003F1"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 Визначення проблеми</w:t>
      </w:r>
    </w:p>
    <w:p w:rsidR="00ED678B" w:rsidRPr="00DB7884" w:rsidRDefault="00FF2796" w:rsidP="00FF2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2.30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у разі закінчення строку дії, анулювання паспорта прив’язки, самовільного встановлення ТС для провадження підприємницької діяльності, така ТС підлягає демонтажу.</w:t>
      </w:r>
    </w:p>
    <w:p w:rsidR="005003F1" w:rsidRPr="00DB7884" w:rsidRDefault="005003F1" w:rsidP="00FF2796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Порядок, який регламентує процедуру демонтажу</w:t>
      </w:r>
      <w:r w:rsidR="00DB7884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(переміщення)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тимчасових споруд для провадження підприємницької діяльності у місті </w:t>
      </w:r>
      <w:proofErr w:type="spellStart"/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Сєвєродонецьку</w:t>
      </w:r>
      <w:proofErr w:type="spellEnd"/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, прийня</w:t>
      </w:r>
      <w:r w:rsidR="00CC68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 розпорядженням керівника військово-цивільної адміністрації міста </w:t>
      </w:r>
      <w:proofErr w:type="spellStart"/>
      <w:r w:rsidR="00CC6844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B7884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№ 1177 від 09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B7884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DB7884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року. Існуючий Порядок демонтажу тимчасових споруд регламентує процедуру  демонтажу тимчасових споруд для провадження підприємницької діяльності,  самовільно розміщених металевих гаражів, малих архітектурних форм та інших об’єктів  торговельного, побутового, соціально-культурного чи</w:t>
      </w:r>
      <w:r w:rsidR="00ED678B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іншого призначення.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5003F1" w:rsidRPr="00DB7884" w:rsidRDefault="005003F1" w:rsidP="00FF2796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</w:t>
      </w:r>
      <w:r w:rsidRPr="00DB7884">
        <w:rPr>
          <w:rFonts w:ascii="Times New Roman" w:hAnsi="Times New Roman" w:cs="Times New Roman"/>
          <w:sz w:val="28"/>
          <w:szCs w:val="28"/>
          <w:lang w:val="uk-UA"/>
        </w:rPr>
        <w:t xml:space="preserve">з   Указом Президента України </w:t>
      </w:r>
      <w:r w:rsidR="00DB7884" w:rsidRPr="00DB7884">
        <w:rPr>
          <w:rFonts w:ascii="Times New Roman" w:hAnsi="Times New Roman" w:cs="Times New Roman"/>
          <w:sz w:val="28"/>
          <w:szCs w:val="28"/>
          <w:lang w:val="uk-UA"/>
        </w:rPr>
        <w:t xml:space="preserve">№ 62/2021 від 19.02.2021 року «Про утворення та реорганізацію військово-цивільних адміністрацій у Луганській області» 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змінами у структурі </w:t>
      </w:r>
      <w:proofErr w:type="spellStart"/>
      <w:r w:rsidR="00DB7884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B7884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в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ійськово-цивільної адміністрації  існуючий Порядок демонтажу тимчасових споруд, малих архітектурних форм та засобів пересувної мережі  потребує  удосконалення. </w:t>
      </w:r>
    </w:p>
    <w:p w:rsidR="005003F1" w:rsidRDefault="005003F1" w:rsidP="00FF2796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Тому, для вирішення даної проблеми існує необхідність прийняття нормативно-правового акту </w:t>
      </w:r>
      <w:proofErr w:type="spellStart"/>
      <w:r w:rsidR="00ED678B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Сєвєродонецькою</w:t>
      </w:r>
      <w:proofErr w:type="spellEnd"/>
      <w:r w:rsidR="00ED678B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міською в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ійськово</w:t>
      </w:r>
      <w:r w:rsidR="00ED678B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-цивільною адміністрацією 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затвердження Порядку демонтажу тимчасових споруд, малих архітектурних форм та засобів пересувної мережі </w:t>
      </w:r>
      <w:r w:rsidR="008734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8734E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 w:rsidR="008734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міській територіальній </w:t>
      </w:r>
      <w:proofErr w:type="spellStart"/>
      <w:r w:rsidR="008734E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громаді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”</w:t>
      </w:r>
      <w:proofErr w:type="spellEnd"/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5003F1" w:rsidRPr="00DB7884" w:rsidRDefault="005003F1" w:rsidP="00FF2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Основні групи (підгрупи), на які проблема справляє вплив:</w:t>
      </w:r>
      <w:r w:rsidRPr="00DB7884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68"/>
        <w:gridCol w:w="3009"/>
        <w:gridCol w:w="2698"/>
      </w:tblGrid>
      <w:tr w:rsidR="005003F1" w:rsidRPr="00DB7884" w:rsidTr="0074261C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Групи (підгрупи)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</w:rPr>
              <w:t> 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03F1" w:rsidRPr="00DB7884" w:rsidTr="0074261C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Територіальна громада </w:t>
            </w:r>
            <w:proofErr w:type="spellStart"/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м.Сєвєродонецька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Суб'єкти господарювання, у тому числі суб'єкти малого підприємництва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F75D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003F1" w:rsidRPr="00DB7884" w:rsidRDefault="005003F1" w:rsidP="00FF2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F75D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Цілі державного регулювання</w:t>
      </w: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003F1" w:rsidRDefault="005003F1" w:rsidP="00FF2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Цілями державного регулювання: покращення благоустрою та збереження архітектурного вигляду міста, ефективне використання ресурсів територіальної громади, збереження охоронних зон інженерних мереж міста, врегулювання процедури функціонування ТС, удосконалення  Порядку демонтажу </w:t>
      </w:r>
      <w:r w:rsidR="006624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3F8">
        <w:rPr>
          <w:rFonts w:ascii="Times New Roman" w:eastAsia="Times New Roman" w:hAnsi="Times New Roman" w:cs="Times New Roman"/>
          <w:sz w:val="28"/>
          <w:szCs w:val="28"/>
          <w:lang w:val="uk-UA"/>
        </w:rPr>
        <w:t>тимчасових споруд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малих архітектурних форм та засобів пересувної мережі  </w:t>
      </w:r>
      <w:r w:rsidR="00EC2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EC23F8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 w:rsidR="00EC2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міській  територіальній  громаді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F2796" w:rsidRPr="00DB7884" w:rsidRDefault="00FF2796" w:rsidP="00FF2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03F1" w:rsidRPr="00DB7884" w:rsidRDefault="005003F1" w:rsidP="00FF2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3. Визначення та оцінка альтернативних способів досягнення цілей</w:t>
      </w: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003F1" w:rsidRPr="00DB7884" w:rsidRDefault="005003F1" w:rsidP="00FF2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>В яко</w:t>
      </w:r>
      <w:proofErr w:type="spellStart"/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сті</w:t>
      </w:r>
      <w:proofErr w:type="spellEnd"/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альтернативи для досягнення встановлених цілей пропонується два способи:</w:t>
      </w:r>
    </w:p>
    <w:tbl>
      <w:tblPr>
        <w:tblW w:w="949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2"/>
        <w:gridCol w:w="5243"/>
      </w:tblGrid>
      <w:tr w:rsidR="005003F1" w:rsidRPr="00DB7884" w:rsidTr="0074261C">
        <w:trPr>
          <w:tblCellSpacing w:w="0" w:type="dxa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Опис альтернативи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залишити дану ситуацію без змін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прийняття  регуляторного акту</w:t>
            </w:r>
          </w:p>
        </w:tc>
      </w:tr>
    </w:tbl>
    <w:p w:rsidR="005003F1" w:rsidRPr="00DB7884" w:rsidRDefault="005003F1" w:rsidP="00CC6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B788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Перша альтернатива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неприйнятною, оскільки, у разі відмови від прийняття змін до Порядку, існує перешкода для планування і забудови, проведення комплексного благоустрою території міста, гальмується розвиток підприємницької діяльності в місті, зменшується додаткових дохід до міського бюджету, погіршується рівень благоустрою міста.</w:t>
      </w:r>
    </w:p>
    <w:p w:rsidR="00CC6844" w:rsidRDefault="00FF2796" w:rsidP="00CC6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</w:t>
      </w:r>
      <w:r w:rsidR="00F75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Застосування  </w:t>
      </w:r>
      <w:r w:rsidR="005003F1" w:rsidRPr="00DB788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другої альтернативи 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 є найбільш прийнятною, оскільки це надасть можливість вирішення актуальних питань механізму демонтажу ТС, малих архітектурних форм, засобів пересувної мережі.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5003F1" w:rsidRPr="00DB7884" w:rsidRDefault="00CC6844" w:rsidP="00CC6844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</w:t>
      </w:r>
      <w:r w:rsidR="005003F1"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Оцінка впливу на сферу інтересів держави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33"/>
        <w:gridCol w:w="5205"/>
        <w:gridCol w:w="2362"/>
      </w:tblGrid>
      <w:tr w:rsidR="005003F1" w:rsidRPr="00DB7884" w:rsidTr="00F75D5A">
        <w:trPr>
          <w:tblCellSpacing w:w="0" w:type="dxa"/>
        </w:trPr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Вид</w:t>
            </w:r>
          </w:p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альтернативи</w:t>
            </w:r>
          </w:p>
        </w:tc>
        <w:tc>
          <w:tcPr>
            <w:tcW w:w="5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Витрати</w:t>
            </w:r>
          </w:p>
        </w:tc>
      </w:tr>
      <w:tr w:rsidR="005003F1" w:rsidRPr="00DB7884" w:rsidTr="00F75D5A">
        <w:trPr>
          <w:tblCellSpacing w:w="0" w:type="dxa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5003F1" w:rsidRPr="00DB7884" w:rsidTr="00F75D5A">
        <w:trPr>
          <w:tblCellSpacing w:w="0" w:type="dxa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F75D5A">
            <w:pPr>
              <w:spacing w:after="0" w:line="240" w:lineRule="auto"/>
              <w:ind w:left="431" w:hanging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  Створення прозорої системи прийняття рішень про демонтаж ТС </w:t>
            </w:r>
          </w:p>
          <w:p w:rsidR="005003F1" w:rsidRPr="00DB7884" w:rsidRDefault="005003F1" w:rsidP="00F75D5A">
            <w:pPr>
              <w:spacing w:after="0" w:line="240" w:lineRule="auto"/>
              <w:ind w:left="431" w:hanging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2. Підвищення рівня </w:t>
            </w:r>
            <w:r w:rsidR="00FF27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благоустрою </w:t>
            </w:r>
            <w:proofErr w:type="spellStart"/>
            <w:r w:rsidR="00FF27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FF27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5003F1" w:rsidRPr="00DB7884" w:rsidRDefault="005003F1" w:rsidP="00F75D5A">
            <w:pPr>
              <w:spacing w:after="0" w:line="240" w:lineRule="auto"/>
              <w:ind w:left="431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3.Збереження охоронних зон інженерних мереж міста.</w:t>
            </w:r>
          </w:p>
          <w:p w:rsidR="005003F1" w:rsidRPr="00DB7884" w:rsidRDefault="005003F1" w:rsidP="00FF2796">
            <w:pPr>
              <w:spacing w:after="0" w:line="240" w:lineRule="auto"/>
              <w:ind w:left="431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4.Оформлення права користування ТС до вимог чинного законодавства України.</w:t>
            </w:r>
          </w:p>
          <w:p w:rsidR="005003F1" w:rsidRPr="00DB7884" w:rsidRDefault="005003F1" w:rsidP="00FF2796">
            <w:pPr>
              <w:spacing w:after="0" w:line="240" w:lineRule="auto"/>
              <w:ind w:left="431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5.Отримання однакових прозорих можливостей розміщення ТС.</w:t>
            </w:r>
          </w:p>
          <w:p w:rsidR="005003F1" w:rsidRPr="00DB7884" w:rsidRDefault="005003F1" w:rsidP="00FF2796">
            <w:pPr>
              <w:spacing w:after="0" w:line="240" w:lineRule="auto"/>
              <w:ind w:left="431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  Створення прозорої системи прийняття рішень про демонтаж</w:t>
            </w:r>
          </w:p>
          <w:p w:rsidR="005003F1" w:rsidRPr="00DB7884" w:rsidRDefault="00FF2796" w:rsidP="00FF2796">
            <w:pPr>
              <w:spacing w:after="0" w:line="240" w:lineRule="auto"/>
              <w:ind w:left="431" w:hanging="3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7.   </w:t>
            </w:r>
            <w:r w:rsidR="005003F1"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Набуття позитивного іміджу владою міста в результаті врегулювання процедури демонтажу ТС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Витрати на проведення демонтажу ТС, малих архітектурних форм, засобів пересувної мережі.</w:t>
            </w:r>
          </w:p>
        </w:tc>
      </w:tr>
    </w:tbl>
    <w:p w:rsidR="005003F1" w:rsidRPr="00DB7884" w:rsidRDefault="005003F1" w:rsidP="005003F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  <w:r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Оцінка впливу на сферу інтересів громадян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9"/>
        <w:gridCol w:w="4355"/>
        <w:gridCol w:w="2806"/>
      </w:tblGrid>
      <w:tr w:rsidR="005003F1" w:rsidRPr="00DB7884" w:rsidTr="0074261C">
        <w:trPr>
          <w:tblCellSpacing w:w="0" w:type="dxa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Вид</w:t>
            </w:r>
          </w:p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альтернативи</w:t>
            </w:r>
          </w:p>
        </w:tc>
        <w:tc>
          <w:tcPr>
            <w:tcW w:w="4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Витрати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Покращення благоустрою та збереження архітектурного вигляду </w:t>
            </w:r>
            <w:r w:rsidR="00FF27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5003F1" w:rsidRPr="00DB7884" w:rsidRDefault="005003F1" w:rsidP="005003F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Оцінка впливу на сферу інтересів суб'єктів господарювання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8"/>
        <w:gridCol w:w="1296"/>
        <w:gridCol w:w="1276"/>
        <w:gridCol w:w="1385"/>
        <w:gridCol w:w="741"/>
        <w:gridCol w:w="2449"/>
        <w:gridCol w:w="15"/>
      </w:tblGrid>
      <w:tr w:rsidR="005003F1" w:rsidRPr="00DB7884" w:rsidTr="00F75D5A">
        <w:trPr>
          <w:gridAfter w:val="1"/>
          <w:wAfter w:w="15" w:type="dxa"/>
          <w:tblCellSpacing w:w="0" w:type="dxa"/>
        </w:trPr>
        <w:tc>
          <w:tcPr>
            <w:tcW w:w="3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Великі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Середні</w:t>
            </w:r>
          </w:p>
        </w:tc>
        <w:tc>
          <w:tcPr>
            <w:tcW w:w="2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Малі</w:t>
            </w:r>
          </w:p>
        </w:tc>
      </w:tr>
      <w:tr w:rsidR="005003F1" w:rsidRPr="00DB7884" w:rsidTr="00F75D5A">
        <w:trPr>
          <w:gridAfter w:val="1"/>
          <w:wAfter w:w="15" w:type="dxa"/>
          <w:tblCellSpacing w:w="0" w:type="dxa"/>
        </w:trPr>
        <w:tc>
          <w:tcPr>
            <w:tcW w:w="37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суб'єктів господарювання, що підпадають під дію регулювання, одиниць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DB7884" w:rsidP="0074261C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</w:tr>
      <w:tr w:rsidR="005003F1" w:rsidRPr="00DB7884" w:rsidTr="00F75D5A">
        <w:trPr>
          <w:gridAfter w:val="1"/>
          <w:wAfter w:w="15" w:type="dxa"/>
          <w:tblCellSpacing w:w="0" w:type="dxa"/>
        </w:trPr>
        <w:tc>
          <w:tcPr>
            <w:tcW w:w="37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003F1" w:rsidRPr="00DB7884" w:rsidTr="00F75D5A">
        <w:trPr>
          <w:tblCellSpacing w:w="0" w:type="dxa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284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Вид</w:t>
            </w:r>
          </w:p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альтернативи</w:t>
            </w:r>
          </w:p>
        </w:tc>
        <w:tc>
          <w:tcPr>
            <w:tcW w:w="39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2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Витрати</w:t>
            </w:r>
          </w:p>
        </w:tc>
      </w:tr>
      <w:tr w:rsidR="005003F1" w:rsidRPr="00DB7884" w:rsidTr="00F75D5A">
        <w:trPr>
          <w:tblCellSpacing w:w="0" w:type="dxa"/>
        </w:trPr>
        <w:tc>
          <w:tcPr>
            <w:tcW w:w="2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95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5003F1" w:rsidRPr="00DB7884" w:rsidTr="00F75D5A">
        <w:trPr>
          <w:tblCellSpacing w:w="0" w:type="dxa"/>
        </w:trPr>
        <w:tc>
          <w:tcPr>
            <w:tcW w:w="2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95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Прозорість та зрозумілість процедури </w:t>
            </w:r>
          </w:p>
          <w:p w:rsidR="005003F1" w:rsidRPr="00DB7884" w:rsidRDefault="005003F1" w:rsidP="0074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розміщення ТС та процедури демонтажу ТС, малих архітектурних форм та засобів пересувної мережі</w:t>
            </w: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Витрати на проведення демонтажу ТС, малих архітектурних форм та засобів пересувної мережі</w:t>
            </w:r>
          </w:p>
        </w:tc>
      </w:tr>
    </w:tbl>
    <w:p w:rsidR="005003F1" w:rsidRPr="00DB7884" w:rsidRDefault="00F75D5A" w:rsidP="005003F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003F1"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 Вибір найбільш оптимального альтернативного способу досягнення цілей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6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38"/>
        <w:gridCol w:w="2699"/>
        <w:gridCol w:w="4463"/>
      </w:tblGrid>
      <w:tr w:rsidR="005003F1" w:rsidRPr="00DB7884" w:rsidTr="0074261C">
        <w:trPr>
          <w:tblCellSpacing w:w="0" w:type="dxa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4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Коментарі щодо присвоєння відповідного балу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Проблема  </w:t>
            </w:r>
            <w:r w:rsidRPr="00DB78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продовжуватиме існувати</w:t>
            </w:r>
          </w:p>
        </w:tc>
      </w:tr>
      <w:tr w:rsidR="005003F1" w:rsidRPr="00EC23F8" w:rsidTr="0074261C">
        <w:trPr>
          <w:tblCellSpacing w:w="0" w:type="dxa"/>
        </w:trPr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Цілі прийняття регуляторного акта досягнуті, буде встановлена чітка та прозора процедура розміщення та демонтажу ТС, малих архітектурних форм та засобів пересувної мережі  на території </w:t>
            </w:r>
            <w:proofErr w:type="spellStart"/>
            <w:r w:rsidR="00FF27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Сєвєродонецької</w:t>
            </w:r>
            <w:proofErr w:type="spellEnd"/>
            <w:r w:rsidR="00FF27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</w:tr>
    </w:tbl>
    <w:p w:rsidR="005003F1" w:rsidRPr="00DB7884" w:rsidRDefault="005003F1" w:rsidP="005003F1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lastRenderedPageBreak/>
        <w:t>   </w:t>
      </w:r>
    </w:p>
    <w:tbl>
      <w:tblPr>
        <w:tblW w:w="961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14"/>
        <w:gridCol w:w="1936"/>
        <w:gridCol w:w="1950"/>
        <w:gridCol w:w="3415"/>
      </w:tblGrid>
      <w:tr w:rsidR="005003F1" w:rsidRPr="00DB7884" w:rsidTr="0074261C">
        <w:trPr>
          <w:tblCellSpacing w:w="0" w:type="dxa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Рейтинг результативності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Витрати (підсумок)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відповідного місця альтернативи у рейтингу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Проблема  продовжуватиме існувати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Проблема вирішена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Існування проблеми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003F1" w:rsidRPr="00DB7884" w:rsidTr="0074261C">
        <w:trPr>
          <w:tblCellSpacing w:w="0" w:type="dxa"/>
        </w:trPr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Вирішення проблеми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78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дію даного акта можливий вплив зовнішніх чинників – ухвалення змін та доповнень до чинного законодавства у цій сфері. В такому випадку необхідно буде вносити відповідні зміни до Порядку. </w:t>
            </w:r>
          </w:p>
        </w:tc>
      </w:tr>
    </w:tbl>
    <w:p w:rsidR="00061A13" w:rsidRDefault="005003F1" w:rsidP="00061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5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5003F1" w:rsidRPr="00DB7884" w:rsidRDefault="00F75D5A" w:rsidP="00061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1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003F1"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5. Механізм та заходи, які забезпечать розв'язання визначеної проблеми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003F1" w:rsidRDefault="005003F1" w:rsidP="0006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Для розв’язання проблеми зазначеної в розділі 1 цього Аналізу пропонується прийняти розпорядження </w:t>
      </w:r>
      <w:proofErr w:type="spellStart"/>
      <w:r w:rsidR="00DB7884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B7884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в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ійськов</w:t>
      </w:r>
      <w:r w:rsidR="00DB7884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о-цивільної адміністрації  «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Порядку демонтажу</w:t>
      </w:r>
      <w:r w:rsidR="00EC2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тимчасових споруд</w:t>
      </w:r>
      <w:r w:rsidRPr="00DB78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малих архітектурних форм та засобів пересувно</w:t>
      </w:r>
      <w:r w:rsidR="00DB7884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мережі  </w:t>
      </w:r>
      <w:r w:rsidR="00EC2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EC23F8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 w:rsidR="00EC2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міській територіальній  громаді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», яким удосконалити існуючий  прозорий порядок процедури демонтажу тимчасових споруд, малих архітектурних форм та засобів пересувної мережі з чіткою координацією суб’єктів, задіяних в процесі виявлення, прийняття рішення щодо демонтажу, проведення безпосереднього демонтажу ТС та її зберігання, а також повідомлення власника ( користувача) ТС про вищезазначені дії.</w:t>
      </w:r>
    </w:p>
    <w:p w:rsidR="00061A13" w:rsidRPr="00DB7884" w:rsidRDefault="00061A13" w:rsidP="0006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03F1" w:rsidRPr="00DB7884" w:rsidRDefault="005003F1" w:rsidP="0006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F75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061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5003F1" w:rsidRPr="00DB7884" w:rsidRDefault="00061A13" w:rsidP="0006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Витрати на виконання вимог регуляторного акта з боку органів виконавчої влади або органів місцевого самоврядування та суб'єктів підприємництва відсутні.</w:t>
      </w:r>
    </w:p>
    <w:p w:rsidR="00F75D5A" w:rsidRDefault="005003F1" w:rsidP="005003F1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</w:p>
    <w:p w:rsidR="005003F1" w:rsidRPr="00DB7884" w:rsidRDefault="00F75D5A" w:rsidP="0006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03F1"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003F1"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7. </w:t>
      </w:r>
      <w:proofErr w:type="spellStart"/>
      <w:r w:rsidR="005003F1"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Обгрунтування</w:t>
      </w:r>
      <w:proofErr w:type="spellEnd"/>
      <w:r w:rsidR="005003F1"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запропонованого строку дії регуляторного акта</w:t>
      </w:r>
      <w:r w:rsidR="00061A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5003F1" w:rsidRDefault="005003F1" w:rsidP="0006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 xml:space="preserve">            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Строк дії зазначеного регуляторного акта встановлюється як необмежений. У разі потреби, за підсумками відстеження його результативності, до нього будуть вноситься відповідні зміни. При виникненні змін у чинному законодавстві, які можуть впливати на дію запропонованого регуляторного акта, до нього будуть вноситися необхідні корективи.</w:t>
      </w:r>
    </w:p>
    <w:p w:rsidR="00061A13" w:rsidRPr="00DB7884" w:rsidRDefault="00061A13" w:rsidP="0006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3F1" w:rsidRPr="00DB7884" w:rsidRDefault="005003F1" w:rsidP="00061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8. Визначення показників результативності дії регуляторного акта.</w:t>
      </w:r>
    </w:p>
    <w:p w:rsidR="005003F1" w:rsidRPr="00DB7884" w:rsidRDefault="005003F1" w:rsidP="00061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 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Ефективність  даного проекту регуляторного акту буде відстежуватись на підставі наступних показників:</w:t>
      </w:r>
    </w:p>
    <w:p w:rsidR="005003F1" w:rsidRPr="00DB7884" w:rsidRDefault="005003F1" w:rsidP="00F75D5A">
      <w:pPr>
        <w:spacing w:after="0" w:line="240" w:lineRule="auto"/>
        <w:ind w:left="1083" w:hanging="3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884">
        <w:rPr>
          <w:rFonts w:ascii="Symbol" w:eastAsia="Times New Roman" w:hAnsi="Symbol" w:cs="Times New Roman"/>
          <w:sz w:val="28"/>
          <w:szCs w:val="28"/>
          <w:lang w:val="uk-UA"/>
        </w:rPr>
        <w:t></w:t>
      </w:r>
      <w:r w:rsidRPr="00DB7884">
        <w:rPr>
          <w:rFonts w:ascii="Symbol" w:eastAsia="Times New Roman" w:hAnsi="Times New Roman" w:cs="Times New Roman"/>
          <w:sz w:val="28"/>
          <w:szCs w:val="28"/>
          <w:lang w:val="uk-UA"/>
        </w:rPr>
        <w:t>       </w:t>
      </w:r>
      <w:proofErr w:type="spellStart"/>
      <w:r w:rsidRPr="00DB7884">
        <w:rPr>
          <w:rFonts w:ascii="Symbol" w:eastAsia="Times New Roman" w:hAnsi="Symbol" w:cs="Times New Roman"/>
          <w:sz w:val="28"/>
          <w:szCs w:val="28"/>
          <w:lang w:val="uk-UA"/>
        </w:rPr>
        <w:t>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</w:t>
      </w:r>
      <w:proofErr w:type="spellEnd"/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суб’єктів господарювання та/або фізичних осіб, на яких поширюватиметься дія акта;</w:t>
      </w:r>
    </w:p>
    <w:p w:rsidR="005003F1" w:rsidRPr="00DB7884" w:rsidRDefault="005003F1" w:rsidP="00F75D5A">
      <w:pPr>
        <w:spacing w:after="0" w:line="240" w:lineRule="auto"/>
        <w:ind w:left="1083" w:hanging="3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884">
        <w:rPr>
          <w:rFonts w:ascii="Symbol" w:eastAsia="Times New Roman" w:hAnsi="Symbol" w:cs="Times New Roman"/>
          <w:sz w:val="28"/>
          <w:szCs w:val="28"/>
          <w:lang w:val="uk-UA"/>
        </w:rPr>
        <w:t></w:t>
      </w:r>
      <w:r w:rsidRPr="00DB7884">
        <w:rPr>
          <w:rFonts w:ascii="Symbol" w:eastAsia="Times New Roman" w:hAnsi="Times New Roman" w:cs="Times New Roman"/>
          <w:sz w:val="28"/>
          <w:szCs w:val="28"/>
          <w:lang w:val="uk-UA"/>
        </w:rPr>
        <w:t>       </w:t>
      </w:r>
      <w:proofErr w:type="spellStart"/>
      <w:r w:rsidRPr="00DB7884">
        <w:rPr>
          <w:rFonts w:ascii="Symbol" w:eastAsia="Times New Roman" w:hAnsi="Symbol" w:cs="Times New Roman"/>
          <w:sz w:val="28"/>
          <w:szCs w:val="28"/>
          <w:lang w:val="uk-UA"/>
        </w:rPr>
        <w:t>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</w:t>
      </w:r>
      <w:proofErr w:type="spellEnd"/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 прийнятих рішень щодо демонтажу тимчасових споруд, малих архітектурних форм, засобів пересувної мережі;</w:t>
      </w:r>
    </w:p>
    <w:p w:rsidR="005003F1" w:rsidRPr="00DB7884" w:rsidRDefault="005003F1" w:rsidP="00FF2796">
      <w:pPr>
        <w:spacing w:after="0" w:line="240" w:lineRule="auto"/>
        <w:ind w:left="1083" w:hanging="3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884">
        <w:rPr>
          <w:rFonts w:ascii="Symbol" w:eastAsia="Times New Roman" w:hAnsi="Symbol" w:cs="Times New Roman"/>
          <w:sz w:val="28"/>
          <w:szCs w:val="28"/>
          <w:lang w:val="uk-UA"/>
        </w:rPr>
        <w:t></w:t>
      </w:r>
      <w:r w:rsidRPr="00DB7884">
        <w:rPr>
          <w:rFonts w:ascii="Symbol" w:eastAsia="Times New Roman" w:hAnsi="Times New Roman" w:cs="Times New Roman"/>
          <w:sz w:val="28"/>
          <w:szCs w:val="28"/>
          <w:lang w:val="uk-UA"/>
        </w:rPr>
        <w:t>     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   відсутність скарг від фізичних та юридичних осіб, їх об’єднань щодо невпорядкованості процедури розміщення та демонтажу тимчасових споруд, малих архітектурних форм,  засобів пересувної мережі.</w:t>
      </w:r>
    </w:p>
    <w:p w:rsidR="005003F1" w:rsidRPr="00DB7884" w:rsidRDefault="005003F1" w:rsidP="00061A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F75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8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9. Визначення заходів, за допомогою яких здійснюватиметься відстеження  результативності</w:t>
      </w:r>
      <w:r w:rsidR="00061A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5003F1" w:rsidRPr="00DB7884" w:rsidRDefault="005003F1" w:rsidP="00061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Відстеження </w:t>
      </w:r>
      <w:r w:rsidR="00CC6844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результативності проекту розпорядження</w:t>
      </w: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здійснюватиметься на підставі порівняння даних за показниками, визначеними у пункті 8 цього аналізу.</w:t>
      </w:r>
    </w:p>
    <w:p w:rsidR="005003F1" w:rsidRPr="00DB7884" w:rsidRDefault="005003F1" w:rsidP="00F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Базове відстеження результативності регуляторного акта буде проведено до набрання чинності запропонованого проекту регуляторного акта.</w:t>
      </w:r>
    </w:p>
    <w:p w:rsidR="005003F1" w:rsidRPr="00DB7884" w:rsidRDefault="005003F1" w:rsidP="00FF2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Повторне відстеження результативності дії акта буде проведено через рік з дня прийняття цього регуляторного акта.</w:t>
      </w:r>
    </w:p>
    <w:p w:rsidR="005003F1" w:rsidRPr="00DB7884" w:rsidRDefault="005003F1" w:rsidP="00FF2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Періодичне відстеження має бути здійснено раз на три роки після проведення повторного відстеження результативності, за кількісними показниками порівнюватися з показниками, визначеними під час повторного відстеження.</w:t>
      </w:r>
    </w:p>
    <w:p w:rsidR="005003F1" w:rsidRPr="00DB7884" w:rsidRDefault="005003F1" w:rsidP="00FF2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виявлення неврегульованих та проблемних моментів, які передбачається встановлювати шляхом аналізу якісних та кількісних показників дії цього акта, буде розглядатись можливість їх виправлення шляхом внесення відповідних змін.</w:t>
      </w:r>
    </w:p>
    <w:p w:rsidR="005003F1" w:rsidRDefault="005003F1" w:rsidP="005003F1">
      <w:pPr>
        <w:spacing w:before="100" w:beforeAutospacing="1" w:after="11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61A13" w:rsidRDefault="00061A13" w:rsidP="005003F1">
      <w:pPr>
        <w:spacing w:before="100" w:beforeAutospacing="1" w:after="119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862" w:type="dxa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7237"/>
        <w:gridCol w:w="2625"/>
      </w:tblGrid>
      <w:tr w:rsidR="005003F1" w:rsidRPr="00EC23F8" w:rsidTr="0074261C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003F1" w:rsidRPr="00EC23F8" w:rsidTr="0074261C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03F1" w:rsidRPr="00EC23F8" w:rsidTr="0074261C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03F1" w:rsidRPr="00EC23F8" w:rsidTr="0074261C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03F1" w:rsidRPr="00EC23F8" w:rsidTr="0074261C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285D82" w:rsidRDefault="005003F1" w:rsidP="007426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03F1" w:rsidRPr="00EC23F8" w:rsidTr="0074261C">
        <w:trPr>
          <w:tblCellSpacing w:w="0" w:type="dxa"/>
        </w:trPr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03F1" w:rsidRPr="00DB7884" w:rsidRDefault="005003F1" w:rsidP="0074261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003F1" w:rsidRPr="00DE1B8D" w:rsidRDefault="005003F1" w:rsidP="00DE1B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E1B8D" w:rsidRPr="00DE1B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Начальник  </w:t>
      </w:r>
      <w:r w:rsidR="00DE1B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Управління ЖКГ</w:t>
      </w:r>
    </w:p>
    <w:p w:rsidR="00DE1B8D" w:rsidRPr="00DE1B8D" w:rsidRDefault="00DE1B8D" w:rsidP="00DE1B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E1B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E1B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DE1B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ВЦА                                       Антон КОВАЛЕВСЬКИЙ</w:t>
      </w:r>
    </w:p>
    <w:p w:rsidR="00DE1B8D" w:rsidRDefault="005003F1" w:rsidP="00DE1B8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val="uk-UA"/>
        </w:rPr>
      </w:pPr>
      <w:r w:rsidRPr="00DB7884">
        <w:rPr>
          <w:rFonts w:ascii="Times New Roman" w:eastAsia="Times New Roman" w:hAnsi="Times New Roman" w:cs="Times New Roman"/>
          <w:color w:val="5A5A5A"/>
          <w:sz w:val="28"/>
          <w:szCs w:val="28"/>
        </w:rPr>
        <w:t>           </w:t>
      </w:r>
    </w:p>
    <w:p w:rsidR="00061A13" w:rsidRDefault="00061A13" w:rsidP="00DE1B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6844" w:rsidRDefault="00CC6844" w:rsidP="00DE1B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03F1" w:rsidRPr="00061A13" w:rsidRDefault="00061A13" w:rsidP="00061A13">
      <w:pPr>
        <w:spacing w:after="0"/>
        <w:rPr>
          <w:rFonts w:ascii="Times New Roman" w:hAnsi="Times New Roman" w:cs="Times New Roman"/>
          <w:lang w:val="uk-UA"/>
        </w:rPr>
      </w:pPr>
      <w:r w:rsidRPr="00061A13">
        <w:rPr>
          <w:rFonts w:ascii="Times New Roman" w:hAnsi="Times New Roman" w:cs="Times New Roman"/>
          <w:lang w:val="uk-UA"/>
        </w:rPr>
        <w:t>Підготував:</w:t>
      </w:r>
    </w:p>
    <w:p w:rsidR="00061A13" w:rsidRPr="00061A13" w:rsidRDefault="00061A13" w:rsidP="00061A13">
      <w:pPr>
        <w:spacing w:after="0"/>
        <w:rPr>
          <w:rFonts w:ascii="Times New Roman" w:hAnsi="Times New Roman" w:cs="Times New Roman"/>
          <w:lang w:val="uk-UA"/>
        </w:rPr>
      </w:pPr>
      <w:proofErr w:type="spellStart"/>
      <w:r w:rsidRPr="00061A13">
        <w:rPr>
          <w:rFonts w:ascii="Times New Roman" w:hAnsi="Times New Roman" w:cs="Times New Roman"/>
          <w:lang w:val="uk-UA"/>
        </w:rPr>
        <w:t>Панасевич</w:t>
      </w:r>
      <w:proofErr w:type="spellEnd"/>
      <w:r w:rsidRPr="00061A13">
        <w:rPr>
          <w:rFonts w:ascii="Times New Roman" w:hAnsi="Times New Roman" w:cs="Times New Roman"/>
          <w:lang w:val="uk-UA"/>
        </w:rPr>
        <w:t xml:space="preserve"> Ю.</w:t>
      </w:r>
    </w:p>
    <w:p w:rsidR="00C16A88" w:rsidRPr="00DB7884" w:rsidRDefault="00C16A88">
      <w:pPr>
        <w:rPr>
          <w:sz w:val="28"/>
          <w:szCs w:val="28"/>
        </w:rPr>
      </w:pPr>
    </w:p>
    <w:sectPr w:rsidR="00C16A88" w:rsidRPr="00DB7884" w:rsidSect="00F75D5A">
      <w:pgSz w:w="11906" w:h="16838"/>
      <w:pgMar w:top="964" w:right="510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003F1"/>
    <w:rsid w:val="00061A13"/>
    <w:rsid w:val="001140E3"/>
    <w:rsid w:val="001A301E"/>
    <w:rsid w:val="00285D82"/>
    <w:rsid w:val="005003F1"/>
    <w:rsid w:val="006624F7"/>
    <w:rsid w:val="006B4CF4"/>
    <w:rsid w:val="007C4190"/>
    <w:rsid w:val="008734EB"/>
    <w:rsid w:val="009257D7"/>
    <w:rsid w:val="0097724A"/>
    <w:rsid w:val="00C16A88"/>
    <w:rsid w:val="00CC6844"/>
    <w:rsid w:val="00DB7884"/>
    <w:rsid w:val="00DE1B8D"/>
    <w:rsid w:val="00E069D2"/>
    <w:rsid w:val="00E32FE4"/>
    <w:rsid w:val="00EC23F8"/>
    <w:rsid w:val="00ED678B"/>
    <w:rsid w:val="00F75D5A"/>
    <w:rsid w:val="00FF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2021-05-31T12:13:00Z</cp:lastPrinted>
  <dcterms:created xsi:type="dcterms:W3CDTF">2021-05-19T05:59:00Z</dcterms:created>
  <dcterms:modified xsi:type="dcterms:W3CDTF">2021-05-31T12:31:00Z</dcterms:modified>
</cp:coreProperties>
</file>