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16" w:rsidRPr="006E22C8" w:rsidRDefault="00384416" w:rsidP="0038441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АНАЛІЗ РЕГУЛЯТОРНОГО ВПЛИВУ</w:t>
      </w:r>
    </w:p>
    <w:p w:rsidR="00384416" w:rsidRDefault="00384416" w:rsidP="0038441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проекту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розпорядження керівника Військово-цивільної адміністрації міста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Луганської області</w:t>
      </w:r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84416" w:rsidRPr="006E22C8" w:rsidRDefault="00384416" w:rsidP="0038441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«Про затвердження Порядку демонтажу тимчасових споруд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малих архітектурних форм та засобів пересувної мережі </w:t>
      </w:r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у місті Сєверодонецьку»</w:t>
      </w:r>
    </w:p>
    <w:p w:rsidR="00384416" w:rsidRPr="006E22C8" w:rsidRDefault="00384416" w:rsidP="0038441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Аналіз регуляторного впливу розроблено на виконання та з дотриманням вимог статті 8 Закону України від 11.09.2003 №1160-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засади державної регуляторної політики у сфері господарської діяльності» та з урахуванням Методики проведення аналізу впливу регуляторного акта, затвердженої Постановою Кабінету Міністрів України від 11.03.2004 № 308 (зі змінами, затвердженими Постановою Кабінету Міністрів України   від 16.12.2015 № 1151).</w:t>
      </w:r>
      <w:r w:rsidRPr="006E22C8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Аналіз визначає правові та організаційні засади реалізації проекту вказаного регуляторного акта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84416" w:rsidRPr="006E22C8" w:rsidRDefault="00384416" w:rsidP="0038441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 Визначення проблеми</w:t>
      </w:r>
    </w:p>
    <w:p w:rsidR="00384416" w:rsidRDefault="00384416" w:rsidP="00384416">
      <w:pPr>
        <w:spacing w:before="100" w:beforeAutospacing="1" w:after="119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2.30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у разі закінчення строку дії, анулювання паспорта прив’язки, самовільного встановлення ТС для провадження підприємницької діяльності, така ТС підлягає демонтажу.</w:t>
      </w:r>
    </w:p>
    <w:p w:rsidR="00384416" w:rsidRDefault="00384416" w:rsidP="00384416">
      <w:pPr>
        <w:spacing w:before="100" w:beforeAutospacing="1" w:after="119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орядок, який регламенту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процедуру демонтажу тимчасових споруд для провадження підприємницької діяльності у місті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прийнято рішенням виконавчого комітету № </w:t>
      </w:r>
      <w:r w:rsidR="00854653">
        <w:rPr>
          <w:rFonts w:ascii="Times New Roman" w:eastAsia="Times New Roman" w:hAnsi="Times New Roman" w:cs="Times New Roman"/>
          <w:sz w:val="24"/>
          <w:szCs w:val="24"/>
          <w:lang w:val="uk-UA"/>
        </w:rPr>
        <w:t>290</w:t>
      </w:r>
      <w:r w:rsidRPr="000A4CC8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854653">
        <w:rPr>
          <w:rFonts w:ascii="Times New Roman" w:eastAsia="Times New Roman" w:hAnsi="Times New Roman" w:cs="Times New Roman"/>
          <w:sz w:val="24"/>
          <w:szCs w:val="24"/>
          <w:lang w:val="uk-UA"/>
        </w:rPr>
        <w:t>13.05.2019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 Існуючий Порядок демонтажу тимчасових споруд регламентує процедуру  демонтажу тимчасових споруд для провадження підприємницької діяльності</w:t>
      </w:r>
      <w:r w:rsidR="00854653">
        <w:rPr>
          <w:rFonts w:ascii="Times New Roman" w:eastAsia="Times New Roman" w:hAnsi="Times New Roman" w:cs="Times New Roman"/>
          <w:sz w:val="24"/>
          <w:szCs w:val="24"/>
          <w:lang w:val="uk-UA"/>
        </w:rPr>
        <w:t>,  самовільно розміщених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металевих гаражів, малих архітектурних форм та інших об’єктів  торговельного, побутового, соціально-культурного чи іншого призначення, які встановлюються тимчасово, без улаштування фундаменту, в тому числі на фасадах будівель та споруд ( каркаси для влаштування балконів, лоджій, інші споруди, які змінюють зовнішній вигляд фасаду будівлі). </w:t>
      </w:r>
    </w:p>
    <w:p w:rsidR="00854653" w:rsidRPr="0004044A" w:rsidRDefault="00854653" w:rsidP="00384416">
      <w:pPr>
        <w:spacing w:before="100" w:beforeAutospacing="1" w:after="119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040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У зв’язку </w:t>
      </w:r>
      <w:r w:rsidRPr="0004044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  Указом Президента України № 297/2020 від 28.07.2020 року «Про утворення військово-цивільної адміністрації»</w:t>
      </w:r>
      <w:r w:rsidRPr="00040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65089" w:rsidRPr="00040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та </w:t>
      </w:r>
      <w:r w:rsidR="0004044A" w:rsidRPr="00040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змінами у структурі Військово-цивільної адміністрації </w:t>
      </w:r>
      <w:r w:rsidR="00926B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і</w:t>
      </w:r>
      <w:r w:rsidRPr="00040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снуючий Порядок демонтажу тимчасових споруд, малих архітектурних форм та засобів пересувної мережі  потребує  удосконалення</w:t>
      </w:r>
      <w:r w:rsidR="0004044A" w:rsidRPr="00040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040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384416" w:rsidRPr="006E22C8" w:rsidRDefault="00384416" w:rsidP="00384416">
      <w:pPr>
        <w:spacing w:before="100" w:beforeAutospacing="1" w:after="119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Тому, для вирішення даної проблеми існує необхідність прийняття нормативно-правового акт</w:t>
      </w:r>
      <w:r w:rsidR="00207B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Військово-цивільною адміністрацією міста </w:t>
      </w:r>
      <w:proofErr w:type="spellStart"/>
      <w:r w:rsidR="00207B02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207B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Порядку демонтажу тимчасових споруд, малих архітектурних форм та засобів пересувної мережі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місті </w:t>
      </w:r>
      <w:proofErr w:type="spellStart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Сєвєродонецьку”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84416" w:rsidRPr="00207B02" w:rsidRDefault="00384416" w:rsidP="0038441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B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Основні групи (підгрупи), на які проблема справляє вплив:</w:t>
      </w:r>
      <w:r w:rsidRPr="00207B02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10"/>
        <w:gridCol w:w="2713"/>
        <w:gridCol w:w="2432"/>
      </w:tblGrid>
      <w:tr w:rsidR="00384416" w:rsidRPr="006E22C8" w:rsidTr="001F6A48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Групи (підгрупи)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Держава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4416" w:rsidRPr="006E22C8" w:rsidTr="001F6A48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Територіальна громада </w:t>
            </w:r>
            <w:proofErr w:type="spellStart"/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м.Сєвєродонецька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Суб'єкти господарювання, у тому числі </w:t>
            </w: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суб'єкти малого підприємництва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84416" w:rsidRPr="006E22C8" w:rsidRDefault="00384416" w:rsidP="0038441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 Цілі державного регулювання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4416" w:rsidRPr="006E22C8" w:rsidRDefault="00384416" w:rsidP="00384416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Цілями державного регулювання: покращення благоустрою та збереження архітектурного вигляду міста, ефективне використання ресурсів територіальної громади, збереження охоронних зон інженерних мереж міста, врегулювання процедури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функціонування ТС, удосконалення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Порядку демонтажу ТС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малих архітектурних форм та засобів пересувної мережі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території міста </w:t>
      </w:r>
      <w:proofErr w:type="spellStart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84416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3. Визначення та оцінка альтернативних способів досягнення цілей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4416" w:rsidRPr="006E22C8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В яко</w:t>
      </w:r>
      <w:proofErr w:type="spellStart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сті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альтернативи для досягнення встановлених цілей пропонується два способи:</w:t>
      </w:r>
    </w:p>
    <w:tbl>
      <w:tblPr>
        <w:tblW w:w="949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2"/>
        <w:gridCol w:w="5243"/>
      </w:tblGrid>
      <w:tr w:rsidR="00384416" w:rsidRPr="006E22C8" w:rsidTr="001F6A48">
        <w:trPr>
          <w:tblCellSpacing w:w="0" w:type="dxa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Опис альтернативи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залишити дану ситуацію без змін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прийняття </w:t>
            </w: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регуляторного акту</w:t>
            </w:r>
          </w:p>
        </w:tc>
      </w:tr>
    </w:tbl>
    <w:p w:rsidR="00384416" w:rsidRPr="00986BC3" w:rsidRDefault="00384416" w:rsidP="0038441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6E22C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Перша альтернатива</w:t>
      </w:r>
      <w:r w:rsidRPr="00986B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1F41">
        <w:rPr>
          <w:rFonts w:ascii="Times New Roman" w:eastAsia="Times New Roman" w:hAnsi="Times New Roman" w:cs="Times New Roman"/>
          <w:sz w:val="24"/>
          <w:szCs w:val="24"/>
          <w:lang w:val="uk-UA"/>
        </w:rPr>
        <w:t>є неприйнятною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оскільки, 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разі відмови від прийняття змін до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Порядку, існує перешкода для планування і забудови, проведення комплексного благоустрою території міста, гальмується розвиток підприємницької діяльності в місті, зменшується додаткових дохід до міського бюджету, погіршується рівень благоустрою міста.</w:t>
      </w:r>
    </w:p>
    <w:p w:rsidR="00384416" w:rsidRPr="00986BC3" w:rsidRDefault="00384416" w:rsidP="00384416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Застосування  </w:t>
      </w:r>
      <w:r w:rsidRPr="006E22C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другої альтернативи </w:t>
      </w:r>
      <w:r w:rsidRPr="006E22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 є найбільш прийнятною, оскільки це надасть можливість вирішення актуальних питань механізму демонтажу ТС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, малих архітектурних форм, засобів пересувної мережі</w:t>
      </w:r>
      <w:r w:rsidRPr="006E22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6E22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384416" w:rsidRPr="006E22C8" w:rsidRDefault="00384416" w:rsidP="00384416">
      <w:pPr>
        <w:spacing w:before="100" w:beforeAutospacing="1" w:after="119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Оцінка впливу на сферу інтересів держави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8"/>
        <w:gridCol w:w="4800"/>
        <w:gridCol w:w="2362"/>
      </w:tblGrid>
      <w:tr w:rsidR="00384416" w:rsidRPr="006E22C8" w:rsidTr="001F6A48">
        <w:trPr>
          <w:tblCellSpacing w:w="0" w:type="dxa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</w:t>
            </w:r>
          </w:p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альтернативи</w:t>
            </w:r>
          </w:p>
        </w:tc>
        <w:tc>
          <w:tcPr>
            <w:tcW w:w="4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   Створення прозорої системи прийняття рішень про демонтаж ТС </w:t>
            </w:r>
          </w:p>
          <w:p w:rsidR="00384416" w:rsidRPr="006E22C8" w:rsidRDefault="00384416" w:rsidP="001F6A48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Підвищення рівня благоустрою міста </w:t>
            </w:r>
            <w:proofErr w:type="spellStart"/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</w:p>
          <w:p w:rsidR="00384416" w:rsidRPr="006E22C8" w:rsidRDefault="00384416" w:rsidP="001F6A48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3.Збереження охоронних зон інженерних мереж міста.</w:t>
            </w:r>
          </w:p>
          <w:p w:rsidR="00384416" w:rsidRPr="006E22C8" w:rsidRDefault="00384416" w:rsidP="001F6A48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4.Оформлення права користування ТС до вимог чинного законодавства України.</w:t>
            </w:r>
          </w:p>
          <w:p w:rsidR="00384416" w:rsidRPr="006E22C8" w:rsidRDefault="00384416" w:rsidP="001F6A48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5.Отримання однакових прозорих можливостей розміщення ТС.</w:t>
            </w:r>
          </w:p>
          <w:p w:rsidR="00384416" w:rsidRPr="006E22C8" w:rsidRDefault="00384416" w:rsidP="001F6A48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  Створення прозорої системи прийняття рішень про демонтаж</w:t>
            </w:r>
          </w:p>
          <w:p w:rsidR="00384416" w:rsidRPr="006E22C8" w:rsidRDefault="00384416" w:rsidP="001F6A48">
            <w:pPr>
              <w:spacing w:before="100" w:beforeAutospacing="1" w:after="0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      Набуття позитивного іміджу владою міста в результаті врегулювання процедури демонтажу ТС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Витрати на проведення демонтажу 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малих архітектурних форм, засобів пересувної мережі.</w:t>
            </w:r>
          </w:p>
        </w:tc>
      </w:tr>
    </w:tbl>
    <w:p w:rsidR="00384416" w:rsidRPr="006E22C8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Оцінка впливу на сферу інтересів громадян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9"/>
        <w:gridCol w:w="4355"/>
        <w:gridCol w:w="2806"/>
      </w:tblGrid>
      <w:tr w:rsidR="00384416" w:rsidRPr="006E22C8" w:rsidTr="001F6A48">
        <w:trPr>
          <w:tblCellSpacing w:w="0" w:type="dxa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</w:t>
            </w:r>
          </w:p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альтернативи</w:t>
            </w:r>
          </w:p>
        </w:tc>
        <w:tc>
          <w:tcPr>
            <w:tcW w:w="4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Покращення благоустрою та збереження архітектурного вигляду міста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</w:tbl>
    <w:p w:rsidR="00384416" w:rsidRPr="006E22C8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Оцінка впливу на сферу інтересів суб'єктів господарювання</w:t>
      </w:r>
    </w:p>
    <w:tbl>
      <w:tblPr>
        <w:tblW w:w="958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54"/>
        <w:gridCol w:w="1420"/>
        <w:gridCol w:w="1420"/>
        <w:gridCol w:w="4291"/>
      </w:tblGrid>
      <w:tr w:rsidR="00384416" w:rsidRPr="006E22C8" w:rsidTr="001F6A48">
        <w:trPr>
          <w:tblCellSpacing w:w="0" w:type="dxa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Великі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Середні</w:t>
            </w:r>
          </w:p>
        </w:tc>
        <w:tc>
          <w:tcPr>
            <w:tcW w:w="4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Малі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суб'єктів господарювання, що підпадають під дію регулювання, одиниць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384416" w:rsidRPr="006E22C8" w:rsidRDefault="00384416" w:rsidP="00384416">
      <w:pPr>
        <w:spacing w:before="100" w:beforeAutospacing="1" w:after="119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8"/>
        <w:gridCol w:w="3957"/>
        <w:gridCol w:w="3205"/>
      </w:tblGrid>
      <w:tr w:rsidR="00384416" w:rsidRPr="006E22C8" w:rsidTr="001F6A48">
        <w:trPr>
          <w:tblCellSpacing w:w="0" w:type="dxa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</w:t>
            </w:r>
          </w:p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альтернативи</w:t>
            </w:r>
          </w:p>
        </w:tc>
        <w:tc>
          <w:tcPr>
            <w:tcW w:w="3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3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Прозорість та зрозумілість процедури </w:t>
            </w:r>
          </w:p>
          <w:p w:rsidR="00384416" w:rsidRPr="006E22C8" w:rsidRDefault="00384416" w:rsidP="001F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розміщення ТС та процедури демонтажу 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малих архітектурних форм та засобів пересувної мережі</w:t>
            </w: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проведення демонтажу 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малих архітектурних форм та засобів пересувної мережі</w:t>
            </w:r>
          </w:p>
        </w:tc>
      </w:tr>
    </w:tbl>
    <w:p w:rsidR="00384416" w:rsidRPr="006E22C8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4. Вибір найбільш оптимального альтернативного способу досягнення цілей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8"/>
        <w:gridCol w:w="2699"/>
        <w:gridCol w:w="4463"/>
      </w:tblGrid>
      <w:tr w:rsidR="00384416" w:rsidRPr="006E22C8" w:rsidTr="001F6A48">
        <w:trPr>
          <w:tblCellSpacing w:w="0" w:type="dxa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4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Коментарі щодо присвоєння відповідного балу</w:t>
            </w:r>
          </w:p>
        </w:tc>
      </w:tr>
      <w:tr w:rsidR="00384416" w:rsidRPr="00E6230D" w:rsidTr="001F6A48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Проблема  </w:t>
            </w:r>
            <w:r w:rsidRPr="006E22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продовжуватиме існувати</w:t>
            </w:r>
          </w:p>
        </w:tc>
      </w:tr>
      <w:tr w:rsidR="00384416" w:rsidRPr="00302354" w:rsidTr="001F6A48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Цілі прийняття регуляторного акта досягнуті, буде встановлена чітка та прозора процедура розміщення та демонтажу 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малих архітектурних форм та засобів пересувної мережі </w:t>
            </w: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території міста </w:t>
            </w:r>
            <w:proofErr w:type="spellStart"/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</w:p>
        </w:tc>
      </w:tr>
    </w:tbl>
    <w:p w:rsidR="00384416" w:rsidRPr="00305C80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384416" w:rsidRPr="00305C80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961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72"/>
        <w:gridCol w:w="2179"/>
        <w:gridCol w:w="2226"/>
        <w:gridCol w:w="2938"/>
      </w:tblGrid>
      <w:tr w:rsidR="00384416" w:rsidRPr="006E22C8" w:rsidTr="001F6A48">
        <w:trPr>
          <w:tblCellSpacing w:w="0" w:type="dxa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Рейтинг результативності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Вигоди (підсумок)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 (підсумок)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відповідного місця альтернативи у рейтингу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Проблема  продовжуватиме існувати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Проблема вирішена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Рейтинг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Існування проблеми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84416" w:rsidRPr="006E22C8" w:rsidTr="001F6A48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 проблеми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дію даного акта можливий вплив зовнішніх чинників – ухвалення змін та доповнень до чинного законодавства у цій сфері. В такому випадку необхідно буде вносити відповідні зміни до Порядку. </w:t>
            </w:r>
          </w:p>
        </w:tc>
      </w:tr>
    </w:tbl>
    <w:p w:rsidR="00384416" w:rsidRPr="006E22C8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384416" w:rsidRPr="006E22C8" w:rsidRDefault="00384416" w:rsidP="0038441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 Механізм та заходи, які забезпечать розв'язання визначеної проблеми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4416" w:rsidRPr="006E22C8" w:rsidRDefault="00384416" w:rsidP="0038441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1262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розв’язання проблеми зазначеної в розділі 1 цього Аналізу пропонується прийняти </w:t>
      </w:r>
      <w:r w:rsidR="000404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розпорядження Військово-цивільної адміністрації міста </w:t>
      </w:r>
      <w:proofErr w:type="spellStart"/>
      <w:r w:rsidR="0004044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0404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126255">
        <w:rPr>
          <w:rFonts w:ascii="Times New Roman" w:eastAsia="Times New Roman" w:hAnsi="Times New Roman" w:cs="Times New Roman"/>
          <w:sz w:val="24"/>
          <w:szCs w:val="24"/>
          <w:lang w:val="uk-UA"/>
        </w:rPr>
        <w:t>  « Про затвердження Порядку демонтажу тимчасових споруд</w:t>
      </w:r>
      <w:r w:rsidRPr="00305C8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05C80">
        <w:rPr>
          <w:rFonts w:ascii="Times New Roman" w:eastAsia="Times New Roman" w:hAnsi="Times New Roman" w:cs="Times New Roman"/>
          <w:sz w:val="24"/>
          <w:szCs w:val="24"/>
          <w:lang w:val="uk-UA"/>
        </w:rPr>
        <w:t>малих архітектурних форм та засобів пересувної мережі  у місті Сєверодонецьку»</w:t>
      </w:r>
      <w:r w:rsidRPr="001262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, яким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удосконалити існуючий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прозорий порядок процед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ури демонтажу тимчасових споруд, малих архітектурних форм та засобів пересувної мережі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чіткою координацією суб’єктів, задіяних в процесі виявлення, прийняття рішення щодо демонтажу, проведення безпосереднього демонтажу ТС та її зберігання, а також повідомлення власника ( користувача) ТС про вищезазначені дії.</w:t>
      </w:r>
    </w:p>
    <w:p w:rsidR="00384416" w:rsidRPr="006E22C8" w:rsidRDefault="00384416" w:rsidP="0038441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чні та юридичні особи, які повинні проваджувати або виконувати ці вимоги</w:t>
      </w:r>
    </w:p>
    <w:p w:rsidR="00384416" w:rsidRPr="006E22C8" w:rsidRDefault="00384416" w:rsidP="0038441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Витрати на виконання вимог регуляторного акта з боку органів виконавчої влади або органів місцевого самоврядування та суб'єктів підприємництва відсутні.</w:t>
      </w:r>
    </w:p>
    <w:p w:rsidR="00384416" w:rsidRPr="006E22C8" w:rsidRDefault="00384416" w:rsidP="0038441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7. </w:t>
      </w:r>
      <w:proofErr w:type="spellStart"/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Обгрунтування</w:t>
      </w:r>
      <w:proofErr w:type="spellEnd"/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запропонованого строку дії регуляторного акта</w:t>
      </w:r>
    </w:p>
    <w:p w:rsidR="00384416" w:rsidRPr="006E22C8" w:rsidRDefault="00384416" w:rsidP="0038441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Строк дії зазначеного регуляторного акта встановлюється як необмежений. У разі потреби, за підсумками відстеження його результативності, до нього будуть вноситься відповідні зміни. При виникненні змін у чинному законодавстві, які можуть впливати на дію за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ропонованого регуляторного акта, до нього будуть вноситися необхідні корективи.</w:t>
      </w:r>
    </w:p>
    <w:p w:rsidR="00384416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</w:p>
    <w:p w:rsidR="00384416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4416" w:rsidRPr="006E22C8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8. Визначення показників результативності дії регуляторного акта.</w:t>
      </w:r>
    </w:p>
    <w:p w:rsidR="00384416" w:rsidRPr="006E22C8" w:rsidRDefault="00384416" w:rsidP="0038441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Ефективність  даного проекту регуляторного акту буде відстежуватись на підставі наступних показників:</w:t>
      </w:r>
    </w:p>
    <w:p w:rsidR="00384416" w:rsidRPr="006E22C8" w:rsidRDefault="00384416" w:rsidP="00384416">
      <w:pPr>
        <w:spacing w:before="100" w:beforeAutospacing="1" w:after="119" w:line="240" w:lineRule="auto"/>
        <w:ind w:left="1083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</w:t>
      </w:r>
      <w:r w:rsidRPr="006E22C8">
        <w:rPr>
          <w:rFonts w:ascii="Symbol" w:eastAsia="Times New Roman" w:hAnsi="Times New Roman" w:cs="Times New Roman"/>
          <w:sz w:val="24"/>
          <w:szCs w:val="24"/>
          <w:lang w:val="uk-UA"/>
        </w:rPr>
        <w:t>       </w:t>
      </w:r>
      <w:proofErr w:type="spellStart"/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суб’єктів господарювання та/або фізичних осіб, на яких поширюватиметься дія акта;</w:t>
      </w:r>
    </w:p>
    <w:p w:rsidR="00384416" w:rsidRPr="006E22C8" w:rsidRDefault="00384416" w:rsidP="00384416">
      <w:pPr>
        <w:spacing w:before="100" w:beforeAutospacing="1" w:after="119" w:line="240" w:lineRule="auto"/>
        <w:ind w:left="1083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</w:t>
      </w:r>
      <w:r w:rsidRPr="006E22C8">
        <w:rPr>
          <w:rFonts w:ascii="Symbol" w:eastAsia="Times New Roman" w:hAnsi="Times New Roman" w:cs="Times New Roman"/>
          <w:sz w:val="24"/>
          <w:szCs w:val="24"/>
          <w:lang w:val="uk-UA"/>
        </w:rPr>
        <w:t>       </w:t>
      </w:r>
      <w:proofErr w:type="spellStart"/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 прийнятих рішень щодо демонтажу тимчасових споруд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малих архітектурних форм, засобів пересувної мережі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384416" w:rsidRPr="006E22C8" w:rsidRDefault="00384416" w:rsidP="00384416">
      <w:pPr>
        <w:spacing w:before="100" w:beforeAutospacing="1" w:after="119" w:line="240" w:lineRule="auto"/>
        <w:ind w:left="1083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</w:t>
      </w:r>
      <w:r w:rsidRPr="006E22C8">
        <w:rPr>
          <w:rFonts w:ascii="Symbol" w:eastAsia="Times New Roman" w:hAnsi="Times New Roman" w:cs="Times New Roman"/>
          <w:sz w:val="24"/>
          <w:szCs w:val="24"/>
          <w:lang w:val="uk-UA"/>
        </w:rPr>
        <w:t>    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   відсутність скарг від фізичних та юридичних осіб, їх об’єднань щодо невпорядкованості процедури розміщення та демон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тажу тимчасових споруд, малих архітектурних форм,  засобів пересувної мережі.</w:t>
      </w:r>
    </w:p>
    <w:p w:rsidR="00384416" w:rsidRPr="006E22C8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9. Визначення заходів, за допомогою яких здійснюватиметься відстеження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результативності</w:t>
      </w:r>
    </w:p>
    <w:p w:rsidR="00384416" w:rsidRPr="006E22C8" w:rsidRDefault="00384416" w:rsidP="00384416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Відстеження результативності проекту рішення здійснюватиметься на підставі порівняння даних за показниками, визначеними у пункті 8 цього аналізу.</w:t>
      </w:r>
    </w:p>
    <w:p w:rsidR="00384416" w:rsidRPr="006E22C8" w:rsidRDefault="00384416" w:rsidP="00384416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Базове відстеження результативності регуляторного акта буде проведено до набрання чинності запропонованого проекту регуляторного акта.</w:t>
      </w:r>
    </w:p>
    <w:p w:rsidR="00384416" w:rsidRPr="006E22C8" w:rsidRDefault="00384416" w:rsidP="00384416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Повторне відстеження результативності дії акта буде проведено через рік з дня прийняття цього регуляторного акта.</w:t>
      </w:r>
    </w:p>
    <w:p w:rsidR="00384416" w:rsidRPr="006E22C8" w:rsidRDefault="00384416" w:rsidP="00384416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Періодичне відстеження має бути здійснено раз на три роки після проведення повторного відстеження результативності, за кількісними показниками порівнюватися з показниками, визначеними під час повторного відстеження.</w:t>
      </w:r>
    </w:p>
    <w:p w:rsidR="00384416" w:rsidRPr="006E22C8" w:rsidRDefault="00384416" w:rsidP="00384416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виявлення неврегульованих та проблемних моментів, які передбачається встановлювати шляхом аналізу якісних та кількісних показників дії цього акта, буде розглядатись можливість їх виправлення шляхом внесення відповідних змін.</w:t>
      </w:r>
    </w:p>
    <w:p w:rsidR="00384416" w:rsidRPr="00652861" w:rsidRDefault="00384416" w:rsidP="00384416">
      <w:pPr>
        <w:spacing w:before="100" w:beforeAutospacing="1" w:after="119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862" w:type="dxa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7237"/>
        <w:gridCol w:w="2625"/>
      </w:tblGrid>
      <w:tr w:rsidR="00384416" w:rsidRPr="00302354" w:rsidTr="00302354">
        <w:trPr>
          <w:tblCellSpacing w:w="0" w:type="dxa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Default="0004044A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керівника </w:t>
            </w:r>
          </w:p>
          <w:p w:rsidR="0004044A" w:rsidRPr="006E22C8" w:rsidRDefault="0004044A" w:rsidP="001F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військово-цивільної адміністрації                     </w:t>
            </w:r>
            <w:r w:rsidR="0030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302354" w:rsidRDefault="00302354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Олег </w:t>
            </w:r>
            <w:proofErr w:type="spellStart"/>
            <w:r w:rsidRPr="00302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КУЗЬМІНОВ</w:t>
            </w:r>
            <w:proofErr w:type="spellEnd"/>
          </w:p>
        </w:tc>
      </w:tr>
      <w:tr w:rsidR="00384416" w:rsidRPr="00302354" w:rsidTr="00302354">
        <w:trPr>
          <w:tblCellSpacing w:w="0" w:type="dxa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04044A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04044A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84416" w:rsidRPr="00302354" w:rsidTr="00302354">
        <w:trPr>
          <w:tblCellSpacing w:w="0" w:type="dxa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04044A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04044A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4416" w:rsidRPr="00302354" w:rsidTr="00302354">
        <w:trPr>
          <w:tblCellSpacing w:w="0" w:type="dxa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04044A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04044A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84416" w:rsidRPr="006E22C8" w:rsidTr="00302354">
        <w:trPr>
          <w:tblCellSpacing w:w="0" w:type="dxa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044A" w:rsidRPr="006E22C8" w:rsidRDefault="00384416" w:rsidP="003023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2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84416" w:rsidP="001F6A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84416" w:rsidRPr="006E22C8" w:rsidTr="00302354">
        <w:trPr>
          <w:tblCellSpacing w:w="0" w:type="dxa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Default="00384416" w:rsidP="00040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по контролю за благоустроєм</w:t>
            </w:r>
          </w:p>
          <w:p w:rsidR="00384416" w:rsidRPr="006E22C8" w:rsidRDefault="00384416" w:rsidP="00040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санітарним станом міста</w:t>
            </w:r>
            <w:r w:rsidR="000404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УЖКГ ВЦА         </w:t>
            </w:r>
            <w:r w:rsidR="003023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416" w:rsidRPr="006E22C8" w:rsidRDefault="00302354" w:rsidP="0004044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Дмитро КОМИШАН</w:t>
            </w:r>
          </w:p>
        </w:tc>
      </w:tr>
    </w:tbl>
    <w:p w:rsidR="00384416" w:rsidRPr="006E22C8" w:rsidRDefault="00384416" w:rsidP="0038441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4416" w:rsidRPr="006E22C8" w:rsidRDefault="00384416" w:rsidP="0038441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color w:val="5A5A5A"/>
          <w:sz w:val="24"/>
          <w:szCs w:val="24"/>
        </w:rPr>
        <w:t>           </w:t>
      </w:r>
    </w:p>
    <w:p w:rsidR="00384416" w:rsidRPr="006E22C8" w:rsidRDefault="00384416" w:rsidP="0038441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4416" w:rsidRDefault="00384416" w:rsidP="00384416"/>
    <w:p w:rsidR="00384416" w:rsidRDefault="00384416" w:rsidP="00384416"/>
    <w:p w:rsidR="00165631" w:rsidRDefault="00165631"/>
    <w:sectPr w:rsidR="00165631" w:rsidSect="0055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84416"/>
    <w:rsid w:val="0004044A"/>
    <w:rsid w:val="00165631"/>
    <w:rsid w:val="00207B02"/>
    <w:rsid w:val="002D1461"/>
    <w:rsid w:val="00302354"/>
    <w:rsid w:val="00384416"/>
    <w:rsid w:val="005B7EA5"/>
    <w:rsid w:val="00854653"/>
    <w:rsid w:val="00865089"/>
    <w:rsid w:val="00926BE8"/>
    <w:rsid w:val="00AD1E1F"/>
    <w:rsid w:val="00FB2882"/>
    <w:rsid w:val="00FC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2020-09-15T07:05:00Z</cp:lastPrinted>
  <dcterms:created xsi:type="dcterms:W3CDTF">2020-09-07T05:26:00Z</dcterms:created>
  <dcterms:modified xsi:type="dcterms:W3CDTF">2020-09-15T07:07:00Z</dcterms:modified>
</cp:coreProperties>
</file>