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вказно у видах робіт в яких одиницях виміру треба закупити матеріал для подальшого облаштування спортивнрго майданчика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дописано в кошторисі скільки потрібно цементу, піска та щебня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Цемент 8 мішків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14)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880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Пісок 2 т.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15)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Щебень 1 т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16)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211235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Зміни потрібні були, для того щоб розуміти у якій кількості треба закупити матеріал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