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84" w:rsidRPr="00595B4F" w:rsidRDefault="00C55184" w:rsidP="00C55184">
      <w:pPr>
        <w:pStyle w:val="a5"/>
        <w:spacing w:line="242" w:lineRule="auto"/>
        <w:ind w:right="77"/>
        <w:jc w:val="center"/>
        <w:rPr>
          <w:lang w:val="uk-UA"/>
        </w:rPr>
      </w:pPr>
    </w:p>
    <w:p w:rsidR="00C55184" w:rsidRPr="00595B4F" w:rsidRDefault="00C55184" w:rsidP="00C55184">
      <w:pPr>
        <w:pStyle w:val="a5"/>
        <w:spacing w:line="242" w:lineRule="auto"/>
        <w:ind w:right="77"/>
        <w:jc w:val="center"/>
        <w:rPr>
          <w:b w:val="0"/>
          <w:lang w:val="uk-UA"/>
        </w:rPr>
      </w:pPr>
      <w:r w:rsidRPr="00595B4F">
        <w:rPr>
          <w:lang w:val="uk-UA"/>
        </w:rPr>
        <w:t>Інформаційна картка адміністративної послуги №2</w:t>
      </w:r>
      <w:r w:rsidRPr="00C55184">
        <w:rPr>
          <w:lang w:val="ru-RU"/>
        </w:rPr>
        <w:t>1</w:t>
      </w:r>
      <w:r w:rsidRPr="00595B4F">
        <w:rPr>
          <w:lang w:val="uk-UA"/>
        </w:rPr>
        <w:t>-10</w:t>
      </w:r>
    </w:p>
    <w:p w:rsidR="00C55184" w:rsidRPr="00595B4F" w:rsidRDefault="00C55184" w:rsidP="00C55184">
      <w:pPr>
        <w:pStyle w:val="a5"/>
        <w:spacing w:line="242" w:lineRule="auto"/>
        <w:ind w:right="77"/>
        <w:jc w:val="center"/>
        <w:rPr>
          <w:b w:val="0"/>
          <w:u w:val="single"/>
          <w:lang w:val="uk-UA"/>
        </w:rPr>
      </w:pPr>
      <w:r w:rsidRPr="00595B4F">
        <w:rPr>
          <w:u w:val="single"/>
          <w:lang w:val="uk-UA"/>
        </w:rPr>
        <w:t xml:space="preserve">Державна реєстрація змін до відомостей про фізичну особу – підприємця, </w:t>
      </w:r>
    </w:p>
    <w:p w:rsidR="00C55184" w:rsidRPr="00595B4F" w:rsidRDefault="00C55184" w:rsidP="00C55184">
      <w:pPr>
        <w:pStyle w:val="a5"/>
        <w:ind w:left="184" w:right="198"/>
        <w:jc w:val="center"/>
        <w:rPr>
          <w:b w:val="0"/>
          <w:u w:val="single"/>
          <w:lang w:val="uk-UA"/>
        </w:rPr>
      </w:pPr>
      <w:r w:rsidRPr="00595B4F">
        <w:rPr>
          <w:u w:val="single"/>
          <w:lang w:val="uk-UA"/>
        </w:rPr>
        <w:t>які містяться в Єдиному державному реєстрі юридичних осіб,</w:t>
      </w:r>
    </w:p>
    <w:p w:rsidR="00C55184" w:rsidRPr="00595B4F" w:rsidRDefault="00C55184" w:rsidP="00C55184">
      <w:pPr>
        <w:pStyle w:val="a5"/>
        <w:ind w:left="184" w:right="198"/>
        <w:jc w:val="center"/>
        <w:rPr>
          <w:b w:val="0"/>
          <w:u w:val="single"/>
          <w:lang w:val="uk-UA"/>
        </w:rPr>
      </w:pPr>
      <w:r w:rsidRPr="00595B4F">
        <w:rPr>
          <w:u w:val="single"/>
          <w:lang w:val="uk-UA"/>
        </w:rPr>
        <w:t xml:space="preserve"> фізичних осіб – підприємців та громадських формувань (ЄДР)</w:t>
      </w:r>
    </w:p>
    <w:p w:rsidR="00C55184" w:rsidRPr="00595B4F" w:rsidRDefault="00C55184" w:rsidP="00C55184">
      <w:pPr>
        <w:spacing w:line="319" w:lineRule="exact"/>
        <w:ind w:left="185" w:right="198"/>
        <w:jc w:val="center"/>
        <w:rPr>
          <w:lang w:val="uk-UA"/>
        </w:rPr>
      </w:pPr>
      <w:r w:rsidRPr="00595B4F">
        <w:rPr>
          <w:lang w:val="uk-UA"/>
        </w:rPr>
        <w:t>(назва адміністративної послуги)</w:t>
      </w:r>
    </w:p>
    <w:p w:rsidR="00C55184" w:rsidRPr="00595B4F" w:rsidRDefault="00C55184" w:rsidP="00C55184">
      <w:pPr>
        <w:pStyle w:val="11"/>
        <w:spacing w:before="0" w:line="242" w:lineRule="auto"/>
        <w:rPr>
          <w:sz w:val="24"/>
          <w:szCs w:val="24"/>
          <w:lang w:val="uk-UA"/>
        </w:rPr>
      </w:pPr>
      <w:r w:rsidRPr="00595B4F">
        <w:rPr>
          <w:sz w:val="24"/>
          <w:szCs w:val="24"/>
          <w:lang w:val="uk-UA"/>
        </w:rPr>
        <w:t xml:space="preserve">Відділ  адміністративних послуг </w:t>
      </w:r>
      <w:proofErr w:type="spellStart"/>
      <w:r w:rsidRPr="00595B4F">
        <w:rPr>
          <w:sz w:val="24"/>
          <w:szCs w:val="24"/>
          <w:lang w:val="uk-UA"/>
        </w:rPr>
        <w:t>Сєвєродонецької</w:t>
      </w:r>
      <w:proofErr w:type="spellEnd"/>
      <w:r w:rsidRPr="00595B4F">
        <w:rPr>
          <w:sz w:val="24"/>
          <w:szCs w:val="24"/>
          <w:lang w:val="uk-UA"/>
        </w:rPr>
        <w:t xml:space="preserve"> міської ради</w:t>
      </w:r>
    </w:p>
    <w:p w:rsidR="00C55184" w:rsidRPr="00C55184" w:rsidRDefault="00C55184" w:rsidP="00C55184">
      <w:pPr>
        <w:pStyle w:val="a5"/>
        <w:jc w:val="center"/>
        <w:rPr>
          <w:lang w:val="ru-RU"/>
        </w:rPr>
      </w:pPr>
      <w:r w:rsidRPr="00C55184">
        <w:rPr>
          <w:lang w:val="ru-RU"/>
        </w:rPr>
        <w:t>(</w:t>
      </w:r>
      <w:proofErr w:type="spellStart"/>
      <w:r w:rsidRPr="00C55184">
        <w:rPr>
          <w:lang w:val="ru-RU"/>
        </w:rPr>
        <w:t>найменування</w:t>
      </w:r>
      <w:proofErr w:type="spellEnd"/>
      <w:r w:rsidRPr="00C55184">
        <w:rPr>
          <w:lang w:val="ru-RU"/>
        </w:rPr>
        <w:t xml:space="preserve"> </w:t>
      </w:r>
      <w:proofErr w:type="spellStart"/>
      <w:r w:rsidRPr="00C55184">
        <w:rPr>
          <w:lang w:val="ru-RU"/>
        </w:rPr>
        <w:t>суб'єкта</w:t>
      </w:r>
      <w:proofErr w:type="spellEnd"/>
      <w:r w:rsidRPr="00C55184">
        <w:rPr>
          <w:lang w:val="ru-RU"/>
        </w:rPr>
        <w:t xml:space="preserve"> </w:t>
      </w:r>
      <w:proofErr w:type="spellStart"/>
      <w:r w:rsidRPr="00C55184">
        <w:rPr>
          <w:lang w:val="ru-RU"/>
        </w:rPr>
        <w:t>надання</w:t>
      </w:r>
      <w:proofErr w:type="spellEnd"/>
      <w:r w:rsidRPr="00C55184">
        <w:rPr>
          <w:lang w:val="ru-RU"/>
        </w:rPr>
        <w:t xml:space="preserve"> </w:t>
      </w:r>
      <w:proofErr w:type="spellStart"/>
      <w:r w:rsidRPr="00C55184">
        <w:rPr>
          <w:lang w:val="ru-RU"/>
        </w:rPr>
        <w:t>адміністративної</w:t>
      </w:r>
      <w:proofErr w:type="spellEnd"/>
      <w:r w:rsidRPr="00C55184">
        <w:rPr>
          <w:lang w:val="ru-RU"/>
        </w:rPr>
        <w:t xml:space="preserve"> </w:t>
      </w:r>
      <w:proofErr w:type="spellStart"/>
      <w:r w:rsidRPr="00C55184">
        <w:rPr>
          <w:lang w:val="ru-RU"/>
        </w:rPr>
        <w:t>послуги</w:t>
      </w:r>
      <w:proofErr w:type="spellEnd"/>
      <w:r w:rsidRPr="00C55184">
        <w:rPr>
          <w:lang w:val="ru-RU"/>
        </w:rPr>
        <w:t>)</w:t>
      </w:r>
    </w:p>
    <w:tbl>
      <w:tblPr>
        <w:tblW w:w="9639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6237"/>
      </w:tblGrid>
      <w:tr w:rsidR="00C55184" w:rsidRPr="00595B4F" w:rsidTr="00BA1A72">
        <w:trPr>
          <w:trHeight w:hRule="exact" w:val="408"/>
        </w:trPr>
        <w:tc>
          <w:tcPr>
            <w:tcW w:w="9639" w:type="dxa"/>
            <w:gridSpan w:val="3"/>
          </w:tcPr>
          <w:p w:rsidR="00C55184" w:rsidRPr="00595B4F" w:rsidRDefault="00C55184" w:rsidP="00BA1A72">
            <w:pPr>
              <w:pStyle w:val="TableParagraph"/>
              <w:spacing w:before="0"/>
              <w:ind w:left="163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Інформація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про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суб'єкта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55184" w:rsidRPr="00595B4F" w:rsidTr="00BA1A72">
        <w:trPr>
          <w:trHeight w:hRule="exact" w:val="538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197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C55184" w:rsidRPr="00595B4F" w:rsidRDefault="00C55184" w:rsidP="00BA1A72">
            <w:pPr>
              <w:rPr>
                <w:lang w:val="uk-UA"/>
              </w:rPr>
            </w:pPr>
            <w:r w:rsidRPr="00595B4F">
              <w:rPr>
                <w:lang w:val="uk-UA"/>
              </w:rPr>
              <w:t xml:space="preserve"> 93400 Луганська обл., </w:t>
            </w:r>
            <w:proofErr w:type="spellStart"/>
            <w:r w:rsidRPr="00595B4F">
              <w:rPr>
                <w:lang w:val="uk-UA"/>
              </w:rPr>
              <w:t>м.Сєвєродонецьк</w:t>
            </w:r>
            <w:proofErr w:type="spellEnd"/>
            <w:r w:rsidRPr="00595B4F">
              <w:rPr>
                <w:lang w:val="uk-UA"/>
              </w:rPr>
              <w:t xml:space="preserve">, 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671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бульвар Дружби Народів, 32-А</w:t>
            </w:r>
          </w:p>
        </w:tc>
      </w:tr>
      <w:tr w:rsidR="00C55184" w:rsidRPr="00595B4F" w:rsidTr="00BA1A72">
        <w:trPr>
          <w:trHeight w:hRule="exact" w:val="846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406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Інформація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режиму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C55184" w:rsidRPr="00595B4F" w:rsidRDefault="00C55184" w:rsidP="00BA1A72">
            <w:pPr>
              <w:tabs>
                <w:tab w:val="left" w:pos="1969"/>
              </w:tabs>
              <w:jc w:val="both"/>
            </w:pPr>
            <w:r w:rsidRPr="00595B4F">
              <w:rPr>
                <w:lang w:val="uk-UA"/>
              </w:rPr>
              <w:t xml:space="preserve">Понеділок, вівторок, </w:t>
            </w:r>
            <w:r w:rsidRPr="00595B4F">
              <w:t>середа</w:t>
            </w:r>
            <w:r w:rsidRPr="00595B4F">
              <w:rPr>
                <w:lang w:val="uk-UA"/>
              </w:rPr>
              <w:t xml:space="preserve">:  з  </w:t>
            </w:r>
            <w:r w:rsidRPr="00595B4F">
              <w:t>8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 до 1</w:t>
            </w:r>
            <w:r w:rsidRPr="00595B4F">
              <w:t>5</w:t>
            </w:r>
            <w:r w:rsidRPr="00595B4F">
              <w:rPr>
                <w:lang w:val="uk-UA"/>
              </w:rPr>
              <w:t>-</w:t>
            </w:r>
            <w:r w:rsidRPr="00595B4F">
              <w:t>3</w:t>
            </w:r>
            <w:r w:rsidRPr="00595B4F">
              <w:rPr>
                <w:lang w:val="uk-UA"/>
              </w:rPr>
              <w:t>0</w:t>
            </w:r>
          </w:p>
          <w:p w:rsidR="00C55184" w:rsidRPr="00595B4F" w:rsidRDefault="00C55184" w:rsidP="00BA1A72">
            <w:pPr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 xml:space="preserve">четвер з </w:t>
            </w:r>
            <w:r w:rsidRPr="00595B4F">
              <w:t>9-3</w:t>
            </w:r>
            <w:r w:rsidRPr="00595B4F">
              <w:rPr>
                <w:lang w:val="uk-UA"/>
              </w:rPr>
              <w:t>0 до 20-00</w:t>
            </w:r>
          </w:p>
          <w:p w:rsidR="00C55184" w:rsidRPr="00595B4F" w:rsidRDefault="00C55184" w:rsidP="00BA1A72">
            <w:pPr>
              <w:jc w:val="both"/>
            </w:pPr>
            <w:proofErr w:type="spellStart"/>
            <w:r w:rsidRPr="00595B4F">
              <w:rPr>
                <w:lang w:val="uk-UA"/>
              </w:rPr>
              <w:t>п’</w:t>
            </w:r>
            <w:r w:rsidRPr="00595B4F">
              <w:t>ятниця</w:t>
            </w:r>
            <w:proofErr w:type="spellEnd"/>
            <w:r w:rsidRPr="00595B4F">
              <w:t xml:space="preserve">    </w:t>
            </w:r>
            <w:r w:rsidRPr="00595B4F">
              <w:rPr>
                <w:lang w:val="uk-UA"/>
              </w:rPr>
              <w:t>з 8-00 до 15-00</w:t>
            </w:r>
          </w:p>
        </w:tc>
      </w:tr>
      <w:tr w:rsidR="00C55184" w:rsidRPr="00595B4F" w:rsidTr="00BA1A72">
        <w:trPr>
          <w:trHeight w:hRule="exact" w:val="1129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81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Телефон/факс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), адреса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веб-сайт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C55184" w:rsidRPr="00595B4F" w:rsidRDefault="00C55184" w:rsidP="00BA1A72">
            <w:r w:rsidRPr="00595B4F">
              <w:rPr>
                <w:lang w:val="uk-UA"/>
              </w:rPr>
              <w:t xml:space="preserve">  тел.: (06452) 4-43-37</w:t>
            </w:r>
          </w:p>
          <w:p w:rsidR="00C55184" w:rsidRPr="00595B4F" w:rsidRDefault="00C55184" w:rsidP="00BA1A72">
            <w:pPr>
              <w:rPr>
                <w:lang w:val="uk-UA"/>
              </w:rPr>
            </w:pPr>
            <w:r w:rsidRPr="00595B4F">
              <w:t xml:space="preserve">  факс</w:t>
            </w:r>
            <w:r w:rsidRPr="00595B4F">
              <w:rPr>
                <w:lang w:val="uk-UA"/>
              </w:rPr>
              <w:t>: (06452) 2-73-41</w:t>
            </w:r>
          </w:p>
          <w:p w:rsidR="00C55184" w:rsidRPr="00595B4F" w:rsidRDefault="00C55184" w:rsidP="00BA1A72">
            <w:pPr>
              <w:tabs>
                <w:tab w:val="left" w:pos="118"/>
              </w:tabs>
            </w:pPr>
            <w:r w:rsidRPr="00595B4F">
              <w:rPr>
                <w:lang w:val="uk-UA"/>
              </w:rPr>
              <w:t xml:space="preserve">  електронна адреса:  </w:t>
            </w:r>
            <w:hyperlink r:id="rId5" w:history="1">
              <w:r w:rsidRPr="00595B4F">
                <w:rPr>
                  <w:rStyle w:val="a8"/>
                </w:rPr>
                <w:t>cnap@sed-rada.gov.ua</w:t>
              </w:r>
            </w:hyperlink>
          </w:p>
          <w:p w:rsidR="00C55184" w:rsidRPr="00595B4F" w:rsidRDefault="00C55184" w:rsidP="00BA1A72">
            <w:pPr>
              <w:pStyle w:val="TableParagraph"/>
              <w:spacing w:before="0"/>
              <w:ind w:right="671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сторінка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веб-сайту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:  </w:t>
            </w:r>
            <w:proofErr w:type="spellStart"/>
            <w:r w:rsidRPr="00595B4F">
              <w:rPr>
                <w:sz w:val="24"/>
                <w:szCs w:val="24"/>
              </w:rPr>
              <w:t>sed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rada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gov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595B4F">
              <w:rPr>
                <w:sz w:val="24"/>
                <w:szCs w:val="24"/>
              </w:rPr>
              <w:t>ua</w:t>
            </w:r>
            <w:proofErr w:type="spellEnd"/>
          </w:p>
        </w:tc>
      </w:tr>
      <w:tr w:rsidR="00C55184" w:rsidRPr="00595B4F" w:rsidTr="00BA1A72">
        <w:trPr>
          <w:trHeight w:hRule="exact" w:val="408"/>
        </w:trPr>
        <w:tc>
          <w:tcPr>
            <w:tcW w:w="9639" w:type="dxa"/>
            <w:gridSpan w:val="3"/>
          </w:tcPr>
          <w:p w:rsidR="00C55184" w:rsidRPr="00595B4F" w:rsidRDefault="00C55184" w:rsidP="00BA1A72">
            <w:pPr>
              <w:pStyle w:val="TableParagraph"/>
              <w:spacing w:before="0"/>
              <w:ind w:left="662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55184" w:rsidRPr="00FC20B5" w:rsidTr="00BA1A72">
        <w:trPr>
          <w:trHeight w:hRule="exact" w:val="1247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197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Закони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237" w:type="dxa"/>
          </w:tcPr>
          <w:p w:rsidR="00C55184" w:rsidRDefault="00C55184" w:rsidP="00BA1A72">
            <w:pPr>
              <w:pStyle w:val="TableParagraph"/>
              <w:spacing w:before="0"/>
              <w:ind w:right="41" w:hanging="57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Закон України «Про місцеве самоврядування»;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C55184" w:rsidRDefault="00C55184" w:rsidP="00BA1A72">
            <w:pPr>
              <w:pStyle w:val="TableParagraph"/>
              <w:spacing w:before="0"/>
              <w:ind w:right="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595B4F">
              <w:rPr>
                <w:rStyle w:val="rvts23"/>
                <w:sz w:val="24"/>
                <w:szCs w:val="24"/>
                <w:lang w:val="uk-UA"/>
              </w:rPr>
              <w:t>акон України «Про адміністративні послуги»;</w:t>
            </w:r>
          </w:p>
          <w:p w:rsidR="00C55184" w:rsidRPr="001B0145" w:rsidRDefault="00C55184" w:rsidP="00BA1A72">
            <w:pPr>
              <w:pStyle w:val="TableParagraph"/>
              <w:spacing w:before="0"/>
              <w:ind w:right="41"/>
              <w:jc w:val="both"/>
              <w:rPr>
                <w:sz w:val="24"/>
                <w:szCs w:val="24"/>
                <w:lang w:val="uk-UA"/>
              </w:rPr>
            </w:pPr>
            <w:r w:rsidRPr="001B0145">
              <w:rPr>
                <w:sz w:val="24"/>
                <w:szCs w:val="24"/>
                <w:lang w:val="uk-UA"/>
              </w:rPr>
              <w:t>Закон України "Про державну реєстрацію юридичних осіб, фізичних осіб – підприємців та громадських формувань"</w:t>
            </w:r>
          </w:p>
          <w:p w:rsidR="00C55184" w:rsidRPr="001B0145" w:rsidRDefault="00C55184" w:rsidP="00BA1A72">
            <w:pPr>
              <w:pStyle w:val="TableParagraph"/>
              <w:spacing w:before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55184" w:rsidRPr="00595B4F" w:rsidTr="00BA1A72">
        <w:trPr>
          <w:trHeight w:hRule="exact" w:val="2578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197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Акти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Кабінету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Міністрів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spacing w:before="0"/>
              <w:ind w:right="7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стр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25.12.2015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7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№ 1133 "Про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".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79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Постанова КМУ від 24.12.2019 №1113 «Про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«</w:t>
            </w:r>
            <w:r w:rsidRPr="00595B4F">
              <w:rPr>
                <w:sz w:val="24"/>
                <w:szCs w:val="24"/>
              </w:rPr>
              <w:t>check</w:t>
            </w:r>
            <w:r w:rsidRPr="00595B4F">
              <w:rPr>
                <w:sz w:val="24"/>
                <w:szCs w:val="24"/>
                <w:lang w:val="uk-UA"/>
              </w:rPr>
              <w:t>»</w:t>
            </w:r>
          </w:p>
        </w:tc>
      </w:tr>
      <w:tr w:rsidR="00C55184" w:rsidRPr="00595B4F" w:rsidTr="00BA1A72">
        <w:trPr>
          <w:trHeight w:hRule="exact" w:val="1418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tabs>
                <w:tab w:val="left" w:pos="787"/>
                <w:tab w:val="left" w:pos="2304"/>
              </w:tabs>
              <w:spacing w:before="0"/>
              <w:ind w:right="52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pacing w:val="-1"/>
                <w:sz w:val="24"/>
                <w:szCs w:val="24"/>
                <w:lang w:val="ru-RU"/>
              </w:rPr>
              <w:t>органів</w:t>
            </w:r>
            <w:proofErr w:type="spellEnd"/>
            <w:r w:rsidRPr="00595B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spacing w:before="0"/>
              <w:ind w:left="142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Наказ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Міністерства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06.01.2016</w:t>
            </w:r>
          </w:p>
          <w:p w:rsidR="00C55184" w:rsidRPr="00595B4F" w:rsidRDefault="00C55184" w:rsidP="00BA1A72">
            <w:pPr>
              <w:pStyle w:val="TableParagraph"/>
              <w:spacing w:before="0"/>
              <w:ind w:left="142" w:right="3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№ 15/5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>"</w:t>
            </w:r>
            <w:r w:rsidRPr="00595B4F">
              <w:rPr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затвердження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форм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",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зареєстрований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юстиції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06.01.2016 за № 14/28144.</w:t>
            </w:r>
          </w:p>
        </w:tc>
      </w:tr>
      <w:tr w:rsidR="00C55184" w:rsidRPr="00595B4F" w:rsidTr="00BA1A72">
        <w:trPr>
          <w:trHeight w:hRule="exact" w:val="400"/>
        </w:trPr>
        <w:tc>
          <w:tcPr>
            <w:tcW w:w="9639" w:type="dxa"/>
            <w:gridSpan w:val="3"/>
          </w:tcPr>
          <w:p w:rsidR="00C55184" w:rsidRPr="00595B4F" w:rsidRDefault="00C55184" w:rsidP="00BA1A72">
            <w:pPr>
              <w:pStyle w:val="TableParagraph"/>
              <w:spacing w:before="0"/>
              <w:ind w:left="60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</w:rPr>
              <w:t>Умови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отримання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адміністративної</w:t>
            </w:r>
            <w:proofErr w:type="spellEnd"/>
            <w:r w:rsidRPr="00595B4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</w:tr>
      <w:tr w:rsidR="00C55184" w:rsidRPr="00595B4F" w:rsidTr="00BA1A72">
        <w:trPr>
          <w:trHeight w:hRule="exact" w:val="704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tabs>
                <w:tab w:val="left" w:pos="787"/>
                <w:tab w:val="left" w:pos="2304"/>
              </w:tabs>
              <w:spacing w:before="0"/>
              <w:ind w:right="52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spacing w:before="0"/>
              <w:ind w:left="219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особи–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підприємця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pacing w:val="-1"/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нею особою.</w:t>
            </w:r>
          </w:p>
        </w:tc>
      </w:tr>
      <w:tr w:rsidR="00C55184" w:rsidRPr="00595B4F" w:rsidTr="00BA1A72">
        <w:trPr>
          <w:trHeight w:hRule="exact" w:val="2273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tabs>
                <w:tab w:val="left" w:pos="787"/>
                <w:tab w:val="left" w:pos="2304"/>
              </w:tabs>
              <w:spacing w:before="0"/>
              <w:ind w:right="52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Вичерпний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перелі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вимоги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них</w:t>
            </w:r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spacing w:before="0"/>
              <w:ind w:right="38" w:firstLine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Заповнена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.</w:t>
            </w:r>
          </w:p>
          <w:p w:rsidR="00C55184" w:rsidRPr="00595B4F" w:rsidRDefault="00C55184" w:rsidP="00BA1A72">
            <w:pPr>
              <w:pStyle w:val="TableParagraph"/>
              <w:spacing w:before="0"/>
              <w:ind w:firstLine="20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Документ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сплату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випадках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передбачених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Законом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8" w:firstLine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довідки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ікової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-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внесення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пов’язаних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pacing w:val="-5"/>
                <w:sz w:val="24"/>
                <w:szCs w:val="24"/>
                <w:lang w:val="ru-RU"/>
              </w:rPr>
              <w:t>із</w:t>
            </w:r>
            <w:proofErr w:type="spellEnd"/>
            <w:r w:rsidRPr="00595B4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облікової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left="219"/>
              <w:rPr>
                <w:sz w:val="24"/>
                <w:szCs w:val="24"/>
                <w:lang w:val="ru-RU"/>
              </w:rPr>
            </w:pPr>
          </w:p>
        </w:tc>
      </w:tr>
      <w:tr w:rsidR="00C55184" w:rsidRPr="00595B4F" w:rsidTr="00BA1A72">
        <w:trPr>
          <w:trHeight w:hRule="exact" w:val="10220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tabs>
                <w:tab w:val="left" w:pos="787"/>
                <w:tab w:val="left" w:pos="2304"/>
              </w:tabs>
              <w:spacing w:before="0"/>
              <w:ind w:right="52"/>
              <w:rPr>
                <w:sz w:val="24"/>
                <w:szCs w:val="24"/>
                <w:lang w:val="ru-RU"/>
              </w:rPr>
            </w:pPr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spacing w:before="0"/>
              <w:ind w:right="37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першої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сторінки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паспорта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сторінки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відміткою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наявність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права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будь-які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платежі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серією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номером паспорта -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внесення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пов’язаних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номера паспорта, -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рел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ігійні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переконання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відмовилися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ікової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повідомили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контролюючий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відмітку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паспорті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платежі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серією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номером паспорта.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9" w:firstLine="19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>У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раз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пред'являє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паспорт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громадянина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паспортний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документ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іноземця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посвідчення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посвідку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постійне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тимчасове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проживання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випадку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коли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цього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представника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представником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примірник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оригіналу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копія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документа,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засвідчує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повноваження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left="312" w:right="671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i/>
                <w:iCs/>
                <w:sz w:val="24"/>
                <w:szCs w:val="24"/>
                <w:lang w:val="ru-RU"/>
              </w:rPr>
              <w:t>Вимоги</w:t>
            </w:r>
            <w:proofErr w:type="spellEnd"/>
            <w:r w:rsidRPr="00595B4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b/>
                <w:bCs/>
                <w:i/>
                <w:iCs/>
                <w:sz w:val="24"/>
                <w:szCs w:val="24"/>
                <w:lang w:val="ru-RU"/>
              </w:rPr>
              <w:t>до</w:t>
            </w:r>
            <w:proofErr w:type="gramEnd"/>
            <w:r w:rsidRPr="00595B4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bCs/>
                <w:i/>
                <w:iCs/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i/>
                <w:iCs/>
                <w:sz w:val="24"/>
                <w:szCs w:val="24"/>
                <w:lang w:val="ru-RU"/>
              </w:rPr>
              <w:t>: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53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державному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реєстратору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викладені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державною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мовою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47" w:firstLine="254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Текст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бути написаний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розбірливо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машинодруком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руки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друкованими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літерами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).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6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повинні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містити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ідчищення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дописки,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закреслені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слова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інші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виправлення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не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обумовлені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них,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орфографічні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арифметичні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помилки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заповнюватися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олівцем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містити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пошкодження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дають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змоги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однозначно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тлумачити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8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бути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оформлені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згідно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вимогами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визначеними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Заява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ідписується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.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справжність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ідпису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повинна бути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нотаріально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засвідчена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6" w:firstLine="76"/>
              <w:jc w:val="both"/>
              <w:rPr>
                <w:sz w:val="24"/>
                <w:szCs w:val="24"/>
                <w:lang w:val="ru-RU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55184" w:rsidRPr="00595B4F" w:rsidTr="00BA1A72">
        <w:trPr>
          <w:trHeight w:hRule="exact" w:val="1563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81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Порядок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необхідних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before="0"/>
              <w:ind w:right="37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необхідні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портал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особою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ідприємцем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уповноважену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особу.</w:t>
            </w:r>
          </w:p>
        </w:tc>
      </w:tr>
      <w:tr w:rsidR="00C55184" w:rsidRPr="00595B4F" w:rsidTr="00BA1A72">
        <w:trPr>
          <w:trHeight w:hRule="exact" w:val="706"/>
        </w:trPr>
        <w:tc>
          <w:tcPr>
            <w:tcW w:w="567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</w:tcPr>
          <w:p w:rsidR="00C55184" w:rsidRPr="00595B4F" w:rsidRDefault="00C55184" w:rsidP="00BA1A72">
            <w:pPr>
              <w:pStyle w:val="TableParagraph"/>
              <w:spacing w:before="0"/>
              <w:ind w:right="81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Платність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237" w:type="dxa"/>
          </w:tcPr>
          <w:p w:rsidR="00C55184" w:rsidRPr="00595B4F" w:rsidRDefault="00C55184" w:rsidP="00BA1A72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before="0"/>
              <w:ind w:right="37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Адміністративна послуга платна</w:t>
            </w:r>
          </w:p>
        </w:tc>
      </w:tr>
      <w:tr w:rsidR="00C55184" w:rsidRPr="00595B4F" w:rsidTr="00BA1A72">
        <w:trPr>
          <w:trHeight w:hRule="exact" w:val="706"/>
        </w:trPr>
        <w:tc>
          <w:tcPr>
            <w:tcW w:w="9639" w:type="dxa"/>
            <w:gridSpan w:val="3"/>
          </w:tcPr>
          <w:p w:rsidR="00C55184" w:rsidRPr="00595B4F" w:rsidRDefault="00C55184" w:rsidP="00BA1A72">
            <w:pPr>
              <w:jc w:val="center"/>
              <w:rPr>
                <w:lang w:val="uk-UA"/>
              </w:rPr>
            </w:pPr>
            <w:r w:rsidRPr="00595B4F">
              <w:rPr>
                <w:lang w:val="uk-UA"/>
              </w:rPr>
              <w:t>У разі платності:</w:t>
            </w:r>
          </w:p>
          <w:p w:rsidR="00C55184" w:rsidRPr="00595B4F" w:rsidRDefault="00C55184" w:rsidP="00BA1A72">
            <w:pPr>
              <w:pStyle w:val="TableParagraph"/>
              <w:tabs>
                <w:tab w:val="left" w:pos="1440"/>
                <w:tab w:val="left" w:pos="3023"/>
                <w:tab w:val="left" w:pos="5035"/>
              </w:tabs>
              <w:spacing w:before="0"/>
              <w:ind w:right="37"/>
              <w:rPr>
                <w:sz w:val="24"/>
                <w:szCs w:val="24"/>
                <w:lang w:val="uk-UA"/>
              </w:rPr>
            </w:pPr>
          </w:p>
        </w:tc>
      </w:tr>
    </w:tbl>
    <w:p w:rsidR="00C55184" w:rsidRPr="00595B4F" w:rsidRDefault="00C55184" w:rsidP="00C55184">
      <w:pPr>
        <w:jc w:val="both"/>
        <w:sectPr w:rsidR="00C55184" w:rsidRPr="00595B4F" w:rsidSect="00330153">
          <w:pgSz w:w="11900" w:h="16840"/>
          <w:pgMar w:top="1134" w:right="658" w:bottom="340" w:left="1242" w:header="720" w:footer="720" w:gutter="0"/>
          <w:cols w:space="720"/>
        </w:sectPr>
      </w:pPr>
    </w:p>
    <w:tbl>
      <w:tblPr>
        <w:tblW w:w="9497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616"/>
        <w:gridCol w:w="6172"/>
      </w:tblGrid>
      <w:tr w:rsidR="00C55184" w:rsidRPr="00595B4F" w:rsidTr="00BA1A72">
        <w:trPr>
          <w:trHeight w:hRule="exact" w:val="1429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uk-UA"/>
              </w:rPr>
              <w:t>Нормативно-правові акти, на підставі яких стягується плата:</w:t>
            </w:r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"Про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юридичних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громадських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формувань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"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розділ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sz w:val="24"/>
                <w:szCs w:val="24"/>
              </w:rPr>
              <w:t>VI</w:t>
            </w:r>
            <w:r w:rsidRPr="00595B4F">
              <w:rPr>
                <w:sz w:val="24"/>
                <w:szCs w:val="24"/>
                <w:lang w:val="ru-RU"/>
              </w:rPr>
              <w:t xml:space="preserve"> ст.36)</w:t>
            </w:r>
          </w:p>
        </w:tc>
      </w:tr>
      <w:tr w:rsidR="00C55184" w:rsidRPr="00595B4F" w:rsidTr="00BA1A72">
        <w:trPr>
          <w:trHeight w:hRule="exact" w:val="2854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10.</w:t>
            </w:r>
            <w:r w:rsidRPr="00595B4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За проведення державної реєстрації зміни прізвища, ім’я, по-батькові або місця проживання фізичної особи – підприємця справляється адміністративний збір у розмірі 0,1 прожиткового мінімум - </w:t>
            </w:r>
            <w:r w:rsidRPr="00595B4F">
              <w:rPr>
                <w:b/>
                <w:bCs/>
                <w:sz w:val="24"/>
                <w:szCs w:val="24"/>
                <w:lang w:val="uk-UA"/>
              </w:rPr>
              <w:t>210,00 грн.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7" w:firstLine="41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справляється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працездатної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законом на 1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календарного року,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округлюються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найближчих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гривень</w:t>
            </w:r>
            <w:proofErr w:type="spellEnd"/>
          </w:p>
        </w:tc>
      </w:tr>
      <w:tr w:rsidR="00C55184" w:rsidRPr="00595B4F" w:rsidTr="00BA1A72">
        <w:trPr>
          <w:trHeight w:hRule="exact" w:val="5087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1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Розмі</w:t>
            </w:r>
            <w:proofErr w:type="gramStart"/>
            <w:r w:rsidRPr="00595B4F">
              <w:rPr>
                <w:b/>
                <w:bCs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плати за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скорочені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 xml:space="preserve"> строки</w:t>
            </w:r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прізвища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ім’я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по-батькові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проживання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 –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підприємця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u w:val="single"/>
                <w:lang w:val="ru-RU"/>
              </w:rPr>
              <w:t>в</w:t>
            </w:r>
            <w:r w:rsidRPr="00595B4F">
              <w:rPr>
                <w:sz w:val="24"/>
                <w:szCs w:val="24"/>
                <w:lang w:val="ru-RU"/>
              </w:rPr>
              <w:t>иключно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бажанням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6-ти годин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–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подвійному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відповіднуреєстрацію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додатководо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- </w:t>
            </w:r>
            <w:r w:rsidRPr="00595B4F">
              <w:rPr>
                <w:b/>
                <w:bCs/>
                <w:sz w:val="24"/>
                <w:szCs w:val="24"/>
                <w:lang w:val="ru-RU"/>
              </w:rPr>
              <w:t>420,0</w:t>
            </w:r>
            <w:r w:rsidRPr="00595B4F">
              <w:rPr>
                <w:b/>
                <w:bCs/>
                <w:sz w:val="24"/>
                <w:szCs w:val="24"/>
                <w:lang w:val="uk-UA"/>
              </w:rPr>
              <w:t xml:space="preserve">0 </w:t>
            </w:r>
            <w:proofErr w:type="spellStart"/>
            <w:r w:rsidRPr="00595B4F">
              <w:rPr>
                <w:b/>
                <w:bCs/>
                <w:sz w:val="24"/>
                <w:szCs w:val="24"/>
                <w:lang w:val="ru-RU"/>
              </w:rPr>
              <w:t>грн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.;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0"/>
              <w:ind w:right="54" w:firstLine="6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2-х годин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ісля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святкових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) –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п’ятикратному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розмірі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відповіднуреєстрацію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додатково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b/>
                <w:bCs/>
                <w:sz w:val="24"/>
                <w:szCs w:val="24"/>
                <w:lang w:val="ru-RU"/>
              </w:rPr>
              <w:t>)- 1050,00</w:t>
            </w:r>
            <w:r w:rsidRPr="00595B4F">
              <w:rPr>
                <w:sz w:val="24"/>
                <w:szCs w:val="24"/>
                <w:lang w:val="ru-RU"/>
              </w:rPr>
              <w:t>грн.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7" w:firstLine="355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Плата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справляється</w:t>
            </w:r>
            <w:proofErr w:type="spellEnd"/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розрахунку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прожиткового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мінімуму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працездатної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особи,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встановленого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законом на 1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календарного року,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округлюються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найближчих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10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гривень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C55184" w:rsidRPr="00595B4F" w:rsidTr="00BA1A72">
        <w:trPr>
          <w:trHeight w:hRule="exact" w:val="1705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10.</w:t>
            </w:r>
            <w:r w:rsidRPr="00595B4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Реквізити для внесення плати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ru-RU"/>
              </w:rPr>
            </w:pPr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 xml:space="preserve">УК у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м.Сєвєродон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>./М.СЄВЄРОДОН./</w:t>
            </w:r>
            <w:r w:rsidRPr="00595B4F">
              <w:rPr>
                <w:bCs/>
                <w:sz w:val="24"/>
                <w:szCs w:val="24"/>
                <w:lang w:val="uk-UA"/>
              </w:rPr>
              <w:t>22010300</w:t>
            </w:r>
            <w:r w:rsidRPr="00595B4F">
              <w:rPr>
                <w:sz w:val="24"/>
                <w:szCs w:val="24"/>
                <w:lang w:val="uk-UA"/>
              </w:rPr>
              <w:t xml:space="preserve">, Код </w:t>
            </w:r>
            <w:r w:rsidRPr="00595B4F">
              <w:rPr>
                <w:bCs/>
                <w:sz w:val="24"/>
                <w:szCs w:val="24"/>
                <w:lang w:val="uk-UA"/>
              </w:rPr>
              <w:t>37944909</w:t>
            </w:r>
            <w:r w:rsidRPr="00595B4F">
              <w:rPr>
                <w:sz w:val="24"/>
                <w:szCs w:val="24"/>
                <w:lang w:val="uk-UA"/>
              </w:rPr>
              <w:t xml:space="preserve">, Банк </w:t>
            </w:r>
            <w:proofErr w:type="spellStart"/>
            <w:r w:rsidRPr="00595B4F">
              <w:rPr>
                <w:sz w:val="24"/>
                <w:szCs w:val="24"/>
                <w:lang w:val="uk-UA"/>
              </w:rPr>
              <w:t>отримувача</w:t>
            </w:r>
            <w:proofErr w:type="spellEnd"/>
            <w:r w:rsidRPr="00595B4F">
              <w:rPr>
                <w:sz w:val="24"/>
                <w:szCs w:val="24"/>
                <w:lang w:val="uk-UA"/>
              </w:rPr>
              <w:t xml:space="preserve"> Казначейство України (ЕАП), Розрахунковий рахунок </w:t>
            </w:r>
            <w:r w:rsidRPr="00595B4F">
              <w:rPr>
                <w:b/>
                <w:sz w:val="24"/>
                <w:szCs w:val="24"/>
              </w:rPr>
              <w:t>UA</w:t>
            </w:r>
            <w:r w:rsidRPr="00595B4F">
              <w:rPr>
                <w:b/>
                <w:sz w:val="24"/>
                <w:szCs w:val="24"/>
                <w:lang w:val="uk-UA"/>
              </w:rPr>
              <w:t>328999980314010501000012080</w:t>
            </w:r>
            <w:r w:rsidRPr="00595B4F">
              <w:rPr>
                <w:sz w:val="24"/>
                <w:szCs w:val="24"/>
                <w:lang w:val="uk-UA"/>
              </w:rPr>
              <w:t xml:space="preserve">, Код бюджетної класифікації доходів </w:t>
            </w:r>
            <w:r w:rsidRPr="00595B4F">
              <w:rPr>
                <w:bCs/>
                <w:sz w:val="24"/>
                <w:szCs w:val="24"/>
                <w:lang w:val="uk-UA"/>
              </w:rPr>
              <w:t>22010300</w:t>
            </w:r>
            <w:r w:rsidRPr="00595B4F">
              <w:rPr>
                <w:sz w:val="24"/>
                <w:szCs w:val="24"/>
                <w:lang w:val="uk-UA"/>
              </w:rPr>
              <w:t xml:space="preserve"> – призначення платежу:   </w:t>
            </w:r>
            <w:r w:rsidRPr="00595B4F">
              <w:rPr>
                <w:b/>
                <w:sz w:val="24"/>
                <w:szCs w:val="24"/>
                <w:lang w:val="uk-UA"/>
              </w:rPr>
              <w:t xml:space="preserve">Плата за зміни до відомостей про  </w:t>
            </w:r>
            <w:proofErr w:type="spellStart"/>
            <w:r w:rsidRPr="00595B4F">
              <w:rPr>
                <w:b/>
                <w:sz w:val="24"/>
                <w:szCs w:val="24"/>
                <w:lang w:val="uk-UA"/>
              </w:rPr>
              <w:t>ФОП</w:t>
            </w:r>
            <w:proofErr w:type="spellEnd"/>
            <w:r w:rsidRPr="00595B4F">
              <w:rPr>
                <w:b/>
                <w:sz w:val="24"/>
                <w:szCs w:val="24"/>
                <w:lang w:val="uk-UA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55184" w:rsidRPr="00595B4F" w:rsidTr="00BA1A72">
        <w:trPr>
          <w:trHeight w:hRule="exact" w:val="1972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10.4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1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  <w:lang w:val="uk-UA"/>
              </w:rPr>
              <w:t>Реквізити для внесення плати за скорочені терміни</w:t>
            </w:r>
          </w:p>
          <w:p w:rsidR="00C55184" w:rsidRPr="00595B4F" w:rsidRDefault="00C55184" w:rsidP="00BA1A72">
            <w:pPr>
              <w:pStyle w:val="TableParagraph"/>
              <w:spacing w:before="0"/>
              <w:ind w:left="0" w:right="391"/>
              <w:rPr>
                <w:sz w:val="24"/>
                <w:szCs w:val="24"/>
                <w:lang w:val="uk-UA"/>
              </w:rPr>
            </w:pPr>
          </w:p>
        </w:tc>
        <w:tc>
          <w:tcPr>
            <w:tcW w:w="6172" w:type="dxa"/>
          </w:tcPr>
          <w:p w:rsidR="00C55184" w:rsidRPr="00595B4F" w:rsidRDefault="00C55184" w:rsidP="00BA1A72">
            <w:pPr>
              <w:jc w:val="both"/>
              <w:rPr>
                <w:lang w:val="uk-UA"/>
              </w:rPr>
            </w:pPr>
            <w:r w:rsidRPr="00595B4F">
              <w:rPr>
                <w:lang w:val="uk-UA"/>
              </w:rPr>
              <w:t xml:space="preserve">УК у </w:t>
            </w:r>
            <w:proofErr w:type="spellStart"/>
            <w:r w:rsidRPr="00595B4F">
              <w:rPr>
                <w:lang w:val="uk-UA"/>
              </w:rPr>
              <w:t>м.Сєвєродон</w:t>
            </w:r>
            <w:proofErr w:type="spellEnd"/>
            <w:r w:rsidRPr="00595B4F">
              <w:rPr>
                <w:lang w:val="uk-UA"/>
              </w:rPr>
              <w:t>./М.СЄВЄРОДОН./</w:t>
            </w:r>
            <w:r w:rsidRPr="00595B4F">
              <w:rPr>
                <w:bCs/>
                <w:lang w:val="uk-UA"/>
              </w:rPr>
              <w:t>22012900</w:t>
            </w:r>
            <w:r w:rsidRPr="00595B4F">
              <w:rPr>
                <w:lang w:val="uk-UA"/>
              </w:rPr>
              <w:t xml:space="preserve">, Код </w:t>
            </w:r>
            <w:r w:rsidRPr="00595B4F">
              <w:rPr>
                <w:bCs/>
                <w:lang w:val="uk-UA"/>
              </w:rPr>
              <w:t>37944909</w:t>
            </w:r>
            <w:r w:rsidRPr="00595B4F">
              <w:rPr>
                <w:lang w:val="uk-UA"/>
              </w:rPr>
              <w:t xml:space="preserve">, Банк </w:t>
            </w:r>
            <w:proofErr w:type="spellStart"/>
            <w:r w:rsidRPr="00595B4F">
              <w:rPr>
                <w:lang w:val="uk-UA"/>
              </w:rPr>
              <w:t>отримувача</w:t>
            </w:r>
            <w:proofErr w:type="spellEnd"/>
            <w:r w:rsidRPr="00595B4F">
              <w:rPr>
                <w:lang w:val="uk-UA"/>
              </w:rPr>
              <w:t xml:space="preserve"> Казначейство України (ЕАП), Розрахунковий рахунок  </w:t>
            </w:r>
            <w:r w:rsidRPr="00595B4F">
              <w:rPr>
                <w:b/>
                <w:lang w:val="en-US"/>
              </w:rPr>
              <w:t>UA</w:t>
            </w:r>
            <w:r w:rsidRPr="00595B4F">
              <w:rPr>
                <w:b/>
                <w:lang w:val="uk-UA"/>
              </w:rPr>
              <w:t>408999980314000540000012080</w:t>
            </w:r>
            <w:r w:rsidRPr="00595B4F">
              <w:rPr>
                <w:lang w:val="uk-UA"/>
              </w:rPr>
              <w:t xml:space="preserve">, Код бюджетної класифікації доходів </w:t>
            </w:r>
            <w:r w:rsidRPr="00595B4F">
              <w:rPr>
                <w:bCs/>
                <w:lang w:val="uk-UA"/>
              </w:rPr>
              <w:t>22012900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b/>
                <w:sz w:val="24"/>
                <w:szCs w:val="24"/>
                <w:lang w:val="ru-RU"/>
              </w:rPr>
            </w:pPr>
            <w:r w:rsidRPr="00595B4F">
              <w:rPr>
                <w:b/>
                <w:sz w:val="24"/>
                <w:szCs w:val="24"/>
                <w:lang w:val="uk-UA"/>
              </w:rPr>
              <w:t>Плата за скорочення термінів надання послуг у сфері державної реєстрації юридичних осіб, фізичних осіб – підприємців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41" w:firstLine="29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55184" w:rsidRPr="00595B4F" w:rsidTr="00BA1A72">
        <w:trPr>
          <w:trHeight w:hRule="exact" w:val="3403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lastRenderedPageBreak/>
              <w:t>11.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409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Строк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1" w:firstLine="254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24 годин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подачі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крім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вихідних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святковихднів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8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b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b/>
                <w:sz w:val="24"/>
                <w:szCs w:val="24"/>
                <w:lang w:val="ru-RU"/>
              </w:rPr>
              <w:t xml:space="preserve">у день </w:t>
            </w:r>
            <w:proofErr w:type="spellStart"/>
            <w:r w:rsidRPr="00595B4F">
              <w:rPr>
                <w:b/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7" w:firstLine="23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C55184" w:rsidRPr="00595B4F" w:rsidTr="00BA1A72">
        <w:trPr>
          <w:trHeight w:val="5800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</w:rPr>
              <w:t>12.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409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47" w:firstLine="20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1.Подання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визначених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Законом, не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tabs>
                <w:tab w:val="left" w:pos="677"/>
              </w:tabs>
              <w:spacing w:before="0"/>
              <w:ind w:left="77" w:right="42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2.Невідповідність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вимогам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установленим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статтею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15Закону.</w:t>
            </w:r>
          </w:p>
          <w:p w:rsidR="00C55184" w:rsidRPr="00595B4F" w:rsidRDefault="00C55184" w:rsidP="00BA1A72">
            <w:pPr>
              <w:pStyle w:val="TableParagraph"/>
              <w:tabs>
                <w:tab w:val="left" w:pos="682"/>
              </w:tabs>
              <w:spacing w:before="0"/>
              <w:ind w:left="77" w:right="36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3.Невідповідність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ЄДР.</w:t>
            </w:r>
          </w:p>
          <w:p w:rsidR="00C55184" w:rsidRPr="00595B4F" w:rsidRDefault="00C55184" w:rsidP="00BA1A72">
            <w:pPr>
              <w:pStyle w:val="TableParagraph"/>
              <w:tabs>
                <w:tab w:val="left" w:pos="682"/>
              </w:tabs>
              <w:spacing w:before="0"/>
              <w:ind w:left="77" w:right="3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95B4F">
              <w:rPr>
                <w:sz w:val="24"/>
                <w:szCs w:val="24"/>
                <w:lang w:val="ru-RU"/>
              </w:rPr>
              <w:t xml:space="preserve">4.Невідповідність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документах,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ЄДР. </w:t>
            </w:r>
            <w:proofErr w:type="gramEnd"/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10"/>
              </w:numPr>
              <w:spacing w:before="0"/>
              <w:ind w:left="77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Невідповідність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номера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обл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ікової</w:t>
            </w:r>
            <w:proofErr w:type="spellEnd"/>
          </w:p>
          <w:p w:rsidR="00C55184" w:rsidRPr="00595B4F" w:rsidRDefault="00C55184" w:rsidP="00BA1A72">
            <w:pPr>
              <w:pStyle w:val="TableParagraph"/>
              <w:spacing w:before="0"/>
              <w:ind w:left="77" w:right="41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номера  паспорта (для</w:t>
            </w:r>
            <w:proofErr w:type="gramEnd"/>
          </w:p>
          <w:p w:rsidR="00C55184" w:rsidRPr="00595B4F" w:rsidRDefault="00C55184" w:rsidP="00BA1A72">
            <w:pPr>
              <w:pStyle w:val="TableParagraph"/>
              <w:tabs>
                <w:tab w:val="left" w:pos="740"/>
              </w:tabs>
              <w:spacing w:befor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фізичних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рел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ігійні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переконання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відмовилися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номера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облікової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картки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платника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податків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повідомили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контролюючий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орган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мають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відмітку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паспорті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право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здійснювати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платежі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серією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номером паспорта)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наданим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статті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13 Закону.</w:t>
            </w:r>
          </w:p>
          <w:p w:rsidR="00C55184" w:rsidRPr="00595B4F" w:rsidRDefault="00C55184" w:rsidP="00BA1A72">
            <w:pPr>
              <w:pStyle w:val="TableParagraph"/>
              <w:tabs>
                <w:tab w:val="left" w:pos="740"/>
              </w:tabs>
              <w:spacing w:before="0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Несплата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збору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сплата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не в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повному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  <w:tr w:rsidR="00C55184" w:rsidRPr="00595B4F" w:rsidTr="00BA1A72">
        <w:trPr>
          <w:trHeight w:hRule="exact" w:val="2270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13.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spacing w:before="0"/>
              <w:ind w:right="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Перелік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6172" w:type="dxa"/>
          </w:tcPr>
          <w:p w:rsidR="00C55184" w:rsidRPr="00595B4F" w:rsidRDefault="00C55184" w:rsidP="00C55184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spacing w:before="0"/>
              <w:ind w:right="48" w:firstLine="355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подано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особою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, яка не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це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повноважень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7"/>
              </w:numPr>
              <w:tabs>
                <w:tab w:val="left" w:pos="672"/>
              </w:tabs>
              <w:spacing w:before="0"/>
              <w:ind w:right="38" w:firstLine="355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>У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є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судове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заборони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реєстраційної</w:t>
            </w:r>
            <w:r w:rsidRPr="00595B4F">
              <w:rPr>
                <w:spacing w:val="-3"/>
                <w:sz w:val="24"/>
                <w:szCs w:val="24"/>
                <w:lang w:val="ru-RU"/>
              </w:rPr>
              <w:t>дії</w:t>
            </w:r>
            <w:proofErr w:type="spellEnd"/>
            <w:r w:rsidRPr="00595B4F">
              <w:rPr>
                <w:spacing w:val="-3"/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</w:tabs>
              <w:spacing w:before="0"/>
              <w:ind w:right="41" w:firstLine="355"/>
              <w:jc w:val="both"/>
              <w:rPr>
                <w:sz w:val="24"/>
                <w:szCs w:val="24"/>
                <w:lang w:val="ru-RU"/>
              </w:rPr>
            </w:pPr>
            <w:r w:rsidRPr="00595B4F">
              <w:rPr>
                <w:sz w:val="24"/>
                <w:szCs w:val="24"/>
                <w:lang w:val="ru-RU"/>
              </w:rPr>
              <w:t xml:space="preserve">Не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усунуто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встановленогостроку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spacing w:before="0"/>
              <w:ind w:right="44" w:firstLine="29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Наявні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обмеження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зайняття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ідприємницькою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діяльністю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встановлені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95B4F">
              <w:rPr>
                <w:sz w:val="24"/>
                <w:szCs w:val="24"/>
                <w:lang w:val="ru-RU"/>
              </w:rPr>
              <w:t>Законом.</w:t>
            </w:r>
          </w:p>
        </w:tc>
      </w:tr>
      <w:tr w:rsidR="00C55184" w:rsidRPr="00595B4F" w:rsidTr="00BA1A72">
        <w:trPr>
          <w:trHeight w:hRule="exact" w:val="1728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595B4F">
              <w:rPr>
                <w:sz w:val="24"/>
                <w:szCs w:val="24"/>
              </w:rPr>
              <w:t>14.</w:t>
            </w: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tabs>
                <w:tab w:val="left" w:pos="2227"/>
              </w:tabs>
              <w:spacing w:before="0"/>
              <w:ind w:right="49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Результатнадання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адміністративноїпослуги</w:t>
            </w:r>
            <w:proofErr w:type="spellEnd"/>
          </w:p>
        </w:tc>
        <w:tc>
          <w:tcPr>
            <w:tcW w:w="6172" w:type="dxa"/>
          </w:tcPr>
          <w:p w:rsidR="00C55184" w:rsidRPr="00595B4F" w:rsidRDefault="00C55184" w:rsidP="00C55184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before="0"/>
              <w:ind w:right="46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before="0"/>
              <w:ind w:right="44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змін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відомостей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фізичну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особу –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ідприємця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містяться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в ЄДР.</w:t>
            </w:r>
          </w:p>
          <w:p w:rsidR="00C55184" w:rsidRPr="00595B4F" w:rsidRDefault="00C55184" w:rsidP="00C55184">
            <w:pPr>
              <w:pStyle w:val="TableParagraph"/>
              <w:numPr>
                <w:ilvl w:val="0"/>
                <w:numId w:val="6"/>
              </w:numPr>
              <w:tabs>
                <w:tab w:val="left" w:pos="682"/>
              </w:tabs>
              <w:spacing w:before="0"/>
              <w:ind w:right="44" w:firstLine="307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виписки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Є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ДР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–</w:t>
            </w:r>
            <w:r w:rsidRPr="00595B4F">
              <w:rPr>
                <w:sz w:val="24"/>
                <w:szCs w:val="24"/>
                <w:lang w:val="ru-RU"/>
              </w:rPr>
              <w:tab/>
              <w:t xml:space="preserve">у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адмін.послуги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. </w:t>
            </w:r>
          </w:p>
        </w:tc>
      </w:tr>
      <w:tr w:rsidR="00C55184" w:rsidRPr="00595B4F" w:rsidTr="00BA1A72">
        <w:trPr>
          <w:trHeight w:val="272"/>
        </w:trPr>
        <w:tc>
          <w:tcPr>
            <w:tcW w:w="709" w:type="dxa"/>
          </w:tcPr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595B4F">
              <w:rPr>
                <w:sz w:val="24"/>
                <w:szCs w:val="24"/>
              </w:rPr>
              <w:t>15</w:t>
            </w:r>
            <w:r w:rsidRPr="00595B4F">
              <w:rPr>
                <w:sz w:val="24"/>
                <w:szCs w:val="24"/>
                <w:lang w:val="uk-UA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</w:p>
        </w:tc>
        <w:tc>
          <w:tcPr>
            <w:tcW w:w="2616" w:type="dxa"/>
          </w:tcPr>
          <w:p w:rsidR="00C55184" w:rsidRPr="00595B4F" w:rsidRDefault="00C55184" w:rsidP="00BA1A72">
            <w:pPr>
              <w:pStyle w:val="TableParagraph"/>
              <w:tabs>
                <w:tab w:val="left" w:pos="2227"/>
              </w:tabs>
              <w:spacing w:before="0"/>
              <w:ind w:right="49"/>
              <w:rPr>
                <w:sz w:val="24"/>
                <w:szCs w:val="24"/>
              </w:rPr>
            </w:pPr>
            <w:proofErr w:type="spellStart"/>
            <w:r w:rsidRPr="00595B4F">
              <w:rPr>
                <w:sz w:val="24"/>
                <w:szCs w:val="24"/>
              </w:rPr>
              <w:t>Способи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отримання</w:t>
            </w:r>
            <w:proofErr w:type="spellEnd"/>
            <w:r w:rsidRPr="00595B4F">
              <w:rPr>
                <w:sz w:val="24"/>
                <w:szCs w:val="24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</w:rPr>
              <w:t>відповіді</w:t>
            </w:r>
            <w:proofErr w:type="spellEnd"/>
            <w:r w:rsidRPr="00595B4F">
              <w:rPr>
                <w:sz w:val="24"/>
                <w:szCs w:val="24"/>
              </w:rPr>
              <w:t xml:space="preserve"> (</w:t>
            </w:r>
            <w:proofErr w:type="spellStart"/>
            <w:r w:rsidRPr="00595B4F">
              <w:rPr>
                <w:sz w:val="24"/>
                <w:szCs w:val="24"/>
              </w:rPr>
              <w:t>результату</w:t>
            </w:r>
            <w:proofErr w:type="spellEnd"/>
            <w:r w:rsidRPr="00595B4F">
              <w:rPr>
                <w:sz w:val="24"/>
                <w:szCs w:val="24"/>
              </w:rPr>
              <w:t>)</w:t>
            </w:r>
          </w:p>
        </w:tc>
        <w:tc>
          <w:tcPr>
            <w:tcW w:w="6172" w:type="dxa"/>
          </w:tcPr>
          <w:p w:rsidR="00C55184" w:rsidRPr="00595B4F" w:rsidRDefault="00C55184" w:rsidP="00BA1A72">
            <w:pPr>
              <w:pStyle w:val="TableParagraph"/>
              <w:spacing w:before="0"/>
              <w:ind w:right="37" w:firstLine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Виписка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- шляхом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їЇ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пошуку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95B4F">
              <w:rPr>
                <w:sz w:val="24"/>
                <w:szCs w:val="24"/>
                <w:lang w:val="ru-RU"/>
              </w:rPr>
              <w:t>за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 xml:space="preserve"> кодом доступу через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персональний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кабінет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, перегляду,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копіювання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роздрукування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36" w:firstLine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pacing w:val="-3"/>
                <w:sz w:val="24"/>
                <w:szCs w:val="24"/>
                <w:lang w:val="ru-RU"/>
              </w:rPr>
              <w:t>із</w:t>
            </w:r>
            <w:proofErr w:type="spellEnd"/>
            <w:r w:rsidRPr="00595B4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строку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lastRenderedPageBreak/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зупинення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адресу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його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пошти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  <w:p w:rsidR="00C55184" w:rsidRPr="00595B4F" w:rsidRDefault="00C55184" w:rsidP="00BA1A72">
            <w:pPr>
              <w:pStyle w:val="TableParagraph"/>
              <w:spacing w:before="0"/>
              <w:ind w:right="47" w:firstLine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95B4F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зазначенням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виключного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переліку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95B4F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595B4F">
              <w:rPr>
                <w:sz w:val="24"/>
                <w:szCs w:val="24"/>
                <w:lang w:val="ru-RU"/>
              </w:rPr>
              <w:t>ідстав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суб’єкта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відмову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розміщуються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порталі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електронних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сервісів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день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95B4F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595B4F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C55184" w:rsidRDefault="00C55184" w:rsidP="00C55184">
      <w:pPr>
        <w:tabs>
          <w:tab w:val="left" w:pos="5529"/>
        </w:tabs>
        <w:jc w:val="both"/>
        <w:rPr>
          <w:b/>
          <w:lang w:val="uk-UA"/>
        </w:rPr>
      </w:pPr>
    </w:p>
    <w:p w:rsidR="00B32F89" w:rsidRPr="00C55184" w:rsidRDefault="00B32F89" w:rsidP="00C55184">
      <w:pPr>
        <w:rPr>
          <w:lang w:val="uk-UA"/>
        </w:rPr>
      </w:pPr>
    </w:p>
    <w:sectPr w:rsidR="00B32F89" w:rsidRPr="00C55184" w:rsidSect="00B32F89">
      <w:pgSz w:w="11906" w:h="16838"/>
      <w:pgMar w:top="567" w:right="658" w:bottom="340" w:left="1242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0A7"/>
    <w:multiLevelType w:val="multilevel"/>
    <w:tmpl w:val="B184C37A"/>
    <w:lvl w:ilvl="0">
      <w:start w:val="1"/>
      <w:numFmt w:val="bullet"/>
      <w:lvlText w:val="-"/>
      <w:lvlJc w:val="left"/>
      <w:pPr>
        <w:ind w:left="57" w:hanging="260"/>
      </w:pPr>
      <w:rPr>
        <w:rFonts w:ascii="Times New Roman" w:hAnsi="Times New Roman" w:cs="Times New Roman" w:hint="default"/>
        <w:spacing w:val="-1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667" w:hanging="2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74" w:hanging="2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82" w:hanging="2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89" w:hanging="2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97" w:hanging="2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704" w:hanging="2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312" w:hanging="2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919" w:hanging="260"/>
      </w:pPr>
      <w:rPr>
        <w:rFonts w:ascii="Symbol" w:hAnsi="Symbol" w:cs="Symbol" w:hint="default"/>
      </w:rPr>
    </w:lvl>
  </w:abstractNum>
  <w:abstractNum w:abstractNumId="1">
    <w:nsid w:val="0B126F06"/>
    <w:multiLevelType w:val="hybridMultilevel"/>
    <w:tmpl w:val="B08EC4D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112F8"/>
    <w:multiLevelType w:val="hybridMultilevel"/>
    <w:tmpl w:val="E968FE78"/>
    <w:lvl w:ilvl="0" w:tplc="F3081988">
      <w:start w:val="2"/>
      <w:numFmt w:val="decimal"/>
      <w:lvlText w:val="%1."/>
      <w:lvlJc w:val="left"/>
      <w:pPr>
        <w:ind w:left="264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BF2B580">
      <w:start w:val="1"/>
      <w:numFmt w:val="bullet"/>
      <w:lvlText w:val="•"/>
      <w:lvlJc w:val="left"/>
      <w:pPr>
        <w:ind w:left="874" w:hanging="264"/>
      </w:pPr>
      <w:rPr>
        <w:rFonts w:hint="default"/>
      </w:rPr>
    </w:lvl>
    <w:lvl w:ilvl="2" w:tplc="9E76ACC4">
      <w:start w:val="1"/>
      <w:numFmt w:val="bullet"/>
      <w:lvlText w:val="•"/>
      <w:lvlJc w:val="left"/>
      <w:pPr>
        <w:ind w:left="1481" w:hanging="264"/>
      </w:pPr>
      <w:rPr>
        <w:rFonts w:hint="default"/>
      </w:rPr>
    </w:lvl>
    <w:lvl w:ilvl="3" w:tplc="725E066A">
      <w:start w:val="1"/>
      <w:numFmt w:val="bullet"/>
      <w:lvlText w:val="•"/>
      <w:lvlJc w:val="left"/>
      <w:pPr>
        <w:ind w:left="2089" w:hanging="264"/>
      </w:pPr>
      <w:rPr>
        <w:rFonts w:hint="default"/>
      </w:rPr>
    </w:lvl>
    <w:lvl w:ilvl="4" w:tplc="837E096C">
      <w:start w:val="1"/>
      <w:numFmt w:val="bullet"/>
      <w:lvlText w:val="•"/>
      <w:lvlJc w:val="left"/>
      <w:pPr>
        <w:ind w:left="2696" w:hanging="264"/>
      </w:pPr>
      <w:rPr>
        <w:rFonts w:hint="default"/>
      </w:rPr>
    </w:lvl>
    <w:lvl w:ilvl="5" w:tplc="C898E764">
      <w:start w:val="1"/>
      <w:numFmt w:val="bullet"/>
      <w:lvlText w:val="•"/>
      <w:lvlJc w:val="left"/>
      <w:pPr>
        <w:ind w:left="3304" w:hanging="264"/>
      </w:pPr>
      <w:rPr>
        <w:rFonts w:hint="default"/>
      </w:rPr>
    </w:lvl>
    <w:lvl w:ilvl="6" w:tplc="7B26D160">
      <w:start w:val="1"/>
      <w:numFmt w:val="bullet"/>
      <w:lvlText w:val="•"/>
      <w:lvlJc w:val="left"/>
      <w:pPr>
        <w:ind w:left="3911" w:hanging="264"/>
      </w:pPr>
      <w:rPr>
        <w:rFonts w:hint="default"/>
      </w:rPr>
    </w:lvl>
    <w:lvl w:ilvl="7" w:tplc="C9BCC67E">
      <w:start w:val="1"/>
      <w:numFmt w:val="bullet"/>
      <w:lvlText w:val="•"/>
      <w:lvlJc w:val="left"/>
      <w:pPr>
        <w:ind w:left="4519" w:hanging="264"/>
      </w:pPr>
      <w:rPr>
        <w:rFonts w:hint="default"/>
      </w:rPr>
    </w:lvl>
    <w:lvl w:ilvl="8" w:tplc="55C03CD2">
      <w:start w:val="1"/>
      <w:numFmt w:val="bullet"/>
      <w:lvlText w:val="•"/>
      <w:lvlJc w:val="left"/>
      <w:pPr>
        <w:ind w:left="5126" w:hanging="264"/>
      </w:pPr>
      <w:rPr>
        <w:rFonts w:hint="default"/>
      </w:rPr>
    </w:lvl>
  </w:abstractNum>
  <w:abstractNum w:abstractNumId="3">
    <w:nsid w:val="5A122D21"/>
    <w:multiLevelType w:val="hybridMultilevel"/>
    <w:tmpl w:val="FC865306"/>
    <w:lvl w:ilvl="0" w:tplc="A6B29A1C">
      <w:start w:val="1"/>
      <w:numFmt w:val="bullet"/>
      <w:lvlText w:val="-"/>
      <w:lvlJc w:val="left"/>
      <w:pPr>
        <w:ind w:left="57" w:hanging="260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A35A4B74">
      <w:start w:val="1"/>
      <w:numFmt w:val="bullet"/>
      <w:lvlText w:val="•"/>
      <w:lvlJc w:val="left"/>
      <w:pPr>
        <w:ind w:left="667" w:hanging="260"/>
      </w:pPr>
      <w:rPr>
        <w:rFonts w:hint="default"/>
      </w:rPr>
    </w:lvl>
    <w:lvl w:ilvl="2" w:tplc="33BE8032">
      <w:start w:val="1"/>
      <w:numFmt w:val="bullet"/>
      <w:lvlText w:val="•"/>
      <w:lvlJc w:val="left"/>
      <w:pPr>
        <w:ind w:left="1274" w:hanging="260"/>
      </w:pPr>
      <w:rPr>
        <w:rFonts w:hint="default"/>
      </w:rPr>
    </w:lvl>
    <w:lvl w:ilvl="3" w:tplc="670EDB74">
      <w:start w:val="1"/>
      <w:numFmt w:val="bullet"/>
      <w:lvlText w:val="•"/>
      <w:lvlJc w:val="left"/>
      <w:pPr>
        <w:ind w:left="1882" w:hanging="260"/>
      </w:pPr>
      <w:rPr>
        <w:rFonts w:hint="default"/>
      </w:rPr>
    </w:lvl>
    <w:lvl w:ilvl="4" w:tplc="9418CC70">
      <w:start w:val="1"/>
      <w:numFmt w:val="bullet"/>
      <w:lvlText w:val="•"/>
      <w:lvlJc w:val="left"/>
      <w:pPr>
        <w:ind w:left="2489" w:hanging="260"/>
      </w:pPr>
      <w:rPr>
        <w:rFonts w:hint="default"/>
      </w:rPr>
    </w:lvl>
    <w:lvl w:ilvl="5" w:tplc="695C7B32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  <w:lvl w:ilvl="6" w:tplc="D2BE5258">
      <w:start w:val="1"/>
      <w:numFmt w:val="bullet"/>
      <w:lvlText w:val="•"/>
      <w:lvlJc w:val="left"/>
      <w:pPr>
        <w:ind w:left="3704" w:hanging="260"/>
      </w:pPr>
      <w:rPr>
        <w:rFonts w:hint="default"/>
      </w:rPr>
    </w:lvl>
    <w:lvl w:ilvl="7" w:tplc="903EFD56">
      <w:start w:val="1"/>
      <w:numFmt w:val="bullet"/>
      <w:lvlText w:val="•"/>
      <w:lvlJc w:val="left"/>
      <w:pPr>
        <w:ind w:left="4312" w:hanging="260"/>
      </w:pPr>
      <w:rPr>
        <w:rFonts w:hint="default"/>
      </w:rPr>
    </w:lvl>
    <w:lvl w:ilvl="8" w:tplc="60AC45A8">
      <w:start w:val="1"/>
      <w:numFmt w:val="bullet"/>
      <w:lvlText w:val="•"/>
      <w:lvlJc w:val="left"/>
      <w:pPr>
        <w:ind w:left="4919" w:hanging="260"/>
      </w:pPr>
      <w:rPr>
        <w:rFonts w:hint="default"/>
      </w:rPr>
    </w:lvl>
  </w:abstractNum>
  <w:abstractNum w:abstractNumId="4">
    <w:nsid w:val="604743B4"/>
    <w:multiLevelType w:val="multilevel"/>
    <w:tmpl w:val="373691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63E51FDF"/>
    <w:multiLevelType w:val="multilevel"/>
    <w:tmpl w:val="E658576A"/>
    <w:lvl w:ilvl="0">
      <w:start w:val="1"/>
      <w:numFmt w:val="decimal"/>
      <w:lvlText w:val="%1."/>
      <w:lvlJc w:val="left"/>
      <w:pPr>
        <w:ind w:left="57" w:hanging="356"/>
      </w:pPr>
      <w:rPr>
        <w:rFonts w:eastAsia="Times New Roman"/>
        <w:spacing w:val="-10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667" w:hanging="3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74" w:hanging="3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82" w:hanging="3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89" w:hanging="3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97" w:hanging="3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704" w:hanging="35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312" w:hanging="35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919" w:hanging="356"/>
      </w:pPr>
      <w:rPr>
        <w:rFonts w:ascii="Symbol" w:hAnsi="Symbol" w:cs="Symbol" w:hint="default"/>
      </w:rPr>
    </w:lvl>
  </w:abstractNum>
  <w:abstractNum w:abstractNumId="6">
    <w:nsid w:val="6469553C"/>
    <w:multiLevelType w:val="multilevel"/>
    <w:tmpl w:val="615C9B34"/>
    <w:lvl w:ilvl="0">
      <w:start w:val="1"/>
      <w:numFmt w:val="decimal"/>
      <w:lvlText w:val="%1."/>
      <w:lvlJc w:val="left"/>
      <w:pPr>
        <w:ind w:left="110" w:hanging="264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721" w:hanging="2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322" w:hanging="2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924" w:hanging="2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525" w:hanging="2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127" w:hanging="2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728" w:hanging="2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330" w:hanging="2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931" w:hanging="264"/>
      </w:pPr>
      <w:rPr>
        <w:rFonts w:ascii="Symbol" w:hAnsi="Symbol" w:cs="Symbol" w:hint="default"/>
      </w:rPr>
    </w:lvl>
  </w:abstractNum>
  <w:abstractNum w:abstractNumId="7">
    <w:nsid w:val="6B38152A"/>
    <w:multiLevelType w:val="hybridMultilevel"/>
    <w:tmpl w:val="39EA28EA"/>
    <w:lvl w:ilvl="0" w:tplc="267A814C">
      <w:start w:val="1"/>
      <w:numFmt w:val="decimal"/>
      <w:lvlText w:val="%1."/>
      <w:lvlJc w:val="left"/>
      <w:pPr>
        <w:ind w:left="110" w:hanging="26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FA2D3AA">
      <w:start w:val="1"/>
      <w:numFmt w:val="bullet"/>
      <w:lvlText w:val="•"/>
      <w:lvlJc w:val="left"/>
      <w:pPr>
        <w:ind w:left="721" w:hanging="264"/>
      </w:pPr>
      <w:rPr>
        <w:rFonts w:hint="default"/>
      </w:rPr>
    </w:lvl>
    <w:lvl w:ilvl="2" w:tplc="AC360572">
      <w:start w:val="1"/>
      <w:numFmt w:val="bullet"/>
      <w:lvlText w:val="•"/>
      <w:lvlJc w:val="left"/>
      <w:pPr>
        <w:ind w:left="1322" w:hanging="264"/>
      </w:pPr>
      <w:rPr>
        <w:rFonts w:hint="default"/>
      </w:rPr>
    </w:lvl>
    <w:lvl w:ilvl="3" w:tplc="579EB236">
      <w:start w:val="1"/>
      <w:numFmt w:val="bullet"/>
      <w:lvlText w:val="•"/>
      <w:lvlJc w:val="left"/>
      <w:pPr>
        <w:ind w:left="1924" w:hanging="264"/>
      </w:pPr>
      <w:rPr>
        <w:rFonts w:hint="default"/>
      </w:rPr>
    </w:lvl>
    <w:lvl w:ilvl="4" w:tplc="47E2251E">
      <w:start w:val="1"/>
      <w:numFmt w:val="bullet"/>
      <w:lvlText w:val="•"/>
      <w:lvlJc w:val="left"/>
      <w:pPr>
        <w:ind w:left="2525" w:hanging="264"/>
      </w:pPr>
      <w:rPr>
        <w:rFonts w:hint="default"/>
      </w:rPr>
    </w:lvl>
    <w:lvl w:ilvl="5" w:tplc="5DC82B9C">
      <w:start w:val="1"/>
      <w:numFmt w:val="bullet"/>
      <w:lvlText w:val="•"/>
      <w:lvlJc w:val="left"/>
      <w:pPr>
        <w:ind w:left="3127" w:hanging="264"/>
      </w:pPr>
      <w:rPr>
        <w:rFonts w:hint="default"/>
      </w:rPr>
    </w:lvl>
    <w:lvl w:ilvl="6" w:tplc="6C9C1B86">
      <w:start w:val="1"/>
      <w:numFmt w:val="bullet"/>
      <w:lvlText w:val="•"/>
      <w:lvlJc w:val="left"/>
      <w:pPr>
        <w:ind w:left="3728" w:hanging="264"/>
      </w:pPr>
      <w:rPr>
        <w:rFonts w:hint="default"/>
      </w:rPr>
    </w:lvl>
    <w:lvl w:ilvl="7" w:tplc="5A3C0800">
      <w:start w:val="1"/>
      <w:numFmt w:val="bullet"/>
      <w:lvlText w:val="•"/>
      <w:lvlJc w:val="left"/>
      <w:pPr>
        <w:ind w:left="4330" w:hanging="264"/>
      </w:pPr>
      <w:rPr>
        <w:rFonts w:hint="default"/>
      </w:rPr>
    </w:lvl>
    <w:lvl w:ilvl="8" w:tplc="585AEAB0">
      <w:start w:val="1"/>
      <w:numFmt w:val="bullet"/>
      <w:lvlText w:val="•"/>
      <w:lvlJc w:val="left"/>
      <w:pPr>
        <w:ind w:left="4931" w:hanging="264"/>
      </w:pPr>
      <w:rPr>
        <w:rFonts w:hint="default"/>
      </w:rPr>
    </w:lvl>
  </w:abstractNum>
  <w:abstractNum w:abstractNumId="8">
    <w:nsid w:val="6DE249E5"/>
    <w:multiLevelType w:val="multilevel"/>
    <w:tmpl w:val="54B6371E"/>
    <w:lvl w:ilvl="0">
      <w:start w:val="2"/>
      <w:numFmt w:val="decimal"/>
      <w:lvlText w:val="%1."/>
      <w:lvlJc w:val="left"/>
      <w:pPr>
        <w:ind w:left="57" w:hanging="264"/>
      </w:pPr>
      <w:rPr>
        <w:rFonts w:eastAsia="Times New Roman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667" w:hanging="2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274" w:hanging="2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1882" w:hanging="2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489" w:hanging="2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097" w:hanging="2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3704" w:hanging="2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4312" w:hanging="2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4919" w:hanging="264"/>
      </w:pPr>
      <w:rPr>
        <w:rFonts w:ascii="Symbol" w:hAnsi="Symbol" w:cs="Symbol" w:hint="default"/>
      </w:rPr>
    </w:lvl>
  </w:abstractNum>
  <w:abstractNum w:abstractNumId="9">
    <w:nsid w:val="7D1854F8"/>
    <w:multiLevelType w:val="hybridMultilevel"/>
    <w:tmpl w:val="F47E2FAA"/>
    <w:lvl w:ilvl="0" w:tplc="FC2831A0">
      <w:start w:val="1"/>
      <w:numFmt w:val="decimal"/>
      <w:lvlText w:val="%1."/>
      <w:lvlJc w:val="left"/>
      <w:pPr>
        <w:ind w:left="57" w:hanging="356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2CE4B100">
      <w:start w:val="1"/>
      <w:numFmt w:val="bullet"/>
      <w:lvlText w:val="•"/>
      <w:lvlJc w:val="left"/>
      <w:pPr>
        <w:ind w:left="667" w:hanging="356"/>
      </w:pPr>
      <w:rPr>
        <w:rFonts w:hint="default"/>
      </w:rPr>
    </w:lvl>
    <w:lvl w:ilvl="2" w:tplc="C9FECE5C">
      <w:start w:val="1"/>
      <w:numFmt w:val="bullet"/>
      <w:lvlText w:val="•"/>
      <w:lvlJc w:val="left"/>
      <w:pPr>
        <w:ind w:left="1274" w:hanging="356"/>
      </w:pPr>
      <w:rPr>
        <w:rFonts w:hint="default"/>
      </w:rPr>
    </w:lvl>
    <w:lvl w:ilvl="3" w:tplc="3440C9DA">
      <w:start w:val="1"/>
      <w:numFmt w:val="bullet"/>
      <w:lvlText w:val="•"/>
      <w:lvlJc w:val="left"/>
      <w:pPr>
        <w:ind w:left="1882" w:hanging="356"/>
      </w:pPr>
      <w:rPr>
        <w:rFonts w:hint="default"/>
      </w:rPr>
    </w:lvl>
    <w:lvl w:ilvl="4" w:tplc="4F46BF22">
      <w:start w:val="1"/>
      <w:numFmt w:val="bullet"/>
      <w:lvlText w:val="•"/>
      <w:lvlJc w:val="left"/>
      <w:pPr>
        <w:ind w:left="2489" w:hanging="356"/>
      </w:pPr>
      <w:rPr>
        <w:rFonts w:hint="default"/>
      </w:rPr>
    </w:lvl>
    <w:lvl w:ilvl="5" w:tplc="0B423BF6">
      <w:start w:val="1"/>
      <w:numFmt w:val="bullet"/>
      <w:lvlText w:val="•"/>
      <w:lvlJc w:val="left"/>
      <w:pPr>
        <w:ind w:left="3097" w:hanging="356"/>
      </w:pPr>
      <w:rPr>
        <w:rFonts w:hint="default"/>
      </w:rPr>
    </w:lvl>
    <w:lvl w:ilvl="6" w:tplc="D018CBF2">
      <w:start w:val="1"/>
      <w:numFmt w:val="bullet"/>
      <w:lvlText w:val="•"/>
      <w:lvlJc w:val="left"/>
      <w:pPr>
        <w:ind w:left="3704" w:hanging="356"/>
      </w:pPr>
      <w:rPr>
        <w:rFonts w:hint="default"/>
      </w:rPr>
    </w:lvl>
    <w:lvl w:ilvl="7" w:tplc="7F7AFD7C">
      <w:start w:val="1"/>
      <w:numFmt w:val="bullet"/>
      <w:lvlText w:val="•"/>
      <w:lvlJc w:val="left"/>
      <w:pPr>
        <w:ind w:left="4312" w:hanging="356"/>
      </w:pPr>
      <w:rPr>
        <w:rFonts w:hint="default"/>
      </w:rPr>
    </w:lvl>
    <w:lvl w:ilvl="8" w:tplc="3D78A8F0">
      <w:start w:val="1"/>
      <w:numFmt w:val="bullet"/>
      <w:lvlText w:val="•"/>
      <w:lvlJc w:val="left"/>
      <w:pPr>
        <w:ind w:left="4919" w:hanging="356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32F89"/>
    <w:rsid w:val="003135EE"/>
    <w:rsid w:val="004535F4"/>
    <w:rsid w:val="00467480"/>
    <w:rsid w:val="00536AA7"/>
    <w:rsid w:val="006566F9"/>
    <w:rsid w:val="006911A2"/>
    <w:rsid w:val="00986840"/>
    <w:rsid w:val="009C0385"/>
    <w:rsid w:val="00A63A2F"/>
    <w:rsid w:val="00A7736D"/>
    <w:rsid w:val="00AA040D"/>
    <w:rsid w:val="00B32F89"/>
    <w:rsid w:val="00BF08E5"/>
    <w:rsid w:val="00C55184"/>
    <w:rsid w:val="00F62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0A08C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-">
    <w:name w:val="Интернет-ссылка"/>
    <w:basedOn w:val="a0"/>
    <w:uiPriority w:val="99"/>
    <w:rsid w:val="000A08CF"/>
    <w:rPr>
      <w:color w:val="0000FF"/>
      <w:u w:val="single"/>
    </w:rPr>
  </w:style>
  <w:style w:type="character" w:customStyle="1" w:styleId="ListLabel1">
    <w:name w:val="ListLabel 1"/>
    <w:qFormat/>
    <w:rsid w:val="00B32F89"/>
    <w:rPr>
      <w:rFonts w:eastAsia="Times New Roman"/>
      <w:w w:val="100"/>
      <w:sz w:val="24"/>
      <w:szCs w:val="24"/>
    </w:rPr>
  </w:style>
  <w:style w:type="character" w:customStyle="1" w:styleId="ListLabel2">
    <w:name w:val="ListLabel 2"/>
    <w:qFormat/>
    <w:rsid w:val="00B32F89"/>
    <w:rPr>
      <w:rFonts w:eastAsia="Times New Roman"/>
      <w:spacing w:val="-10"/>
      <w:w w:val="99"/>
      <w:sz w:val="24"/>
      <w:szCs w:val="24"/>
    </w:rPr>
  </w:style>
  <w:style w:type="character" w:customStyle="1" w:styleId="ListLabel3">
    <w:name w:val="ListLabel 3"/>
    <w:qFormat/>
    <w:rsid w:val="00B32F89"/>
    <w:rPr>
      <w:rFonts w:eastAsia="Times New Roman"/>
      <w:w w:val="100"/>
      <w:sz w:val="24"/>
      <w:szCs w:val="24"/>
    </w:rPr>
  </w:style>
  <w:style w:type="character" w:customStyle="1" w:styleId="ListLabel4">
    <w:name w:val="ListLabel 4"/>
    <w:qFormat/>
    <w:rsid w:val="00B32F89"/>
    <w:rPr>
      <w:rFonts w:eastAsia="Times New Roman"/>
      <w:spacing w:val="-10"/>
      <w:w w:val="99"/>
      <w:sz w:val="24"/>
      <w:szCs w:val="24"/>
    </w:rPr>
  </w:style>
  <w:style w:type="paragraph" w:customStyle="1" w:styleId="a4">
    <w:name w:val="Заголовок"/>
    <w:basedOn w:val="a"/>
    <w:next w:val="a5"/>
    <w:qFormat/>
    <w:rsid w:val="00B32F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iPriority w:val="99"/>
    <w:qFormat/>
    <w:rsid w:val="000A08CF"/>
    <w:pPr>
      <w:widowControl w:val="0"/>
    </w:pPr>
    <w:rPr>
      <w:b/>
      <w:bCs/>
      <w:lang w:val="en-US" w:eastAsia="en-US"/>
    </w:rPr>
  </w:style>
  <w:style w:type="paragraph" w:styleId="a6">
    <w:name w:val="List"/>
    <w:basedOn w:val="a5"/>
    <w:rsid w:val="00B32F89"/>
    <w:rPr>
      <w:rFonts w:cs="Mangal"/>
    </w:rPr>
  </w:style>
  <w:style w:type="paragraph" w:customStyle="1" w:styleId="Caption">
    <w:name w:val="Caption"/>
    <w:basedOn w:val="a"/>
    <w:qFormat/>
    <w:rsid w:val="00B32F89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B32F89"/>
    <w:pPr>
      <w:suppressLineNumbers/>
    </w:pPr>
    <w:rPr>
      <w:rFonts w:cs="Mangal"/>
    </w:rPr>
  </w:style>
  <w:style w:type="paragraph" w:customStyle="1" w:styleId="TableParagraph">
    <w:name w:val="Table Paragraph"/>
    <w:basedOn w:val="a"/>
    <w:qFormat/>
    <w:rsid w:val="000A08CF"/>
    <w:pPr>
      <w:widowControl w:val="0"/>
      <w:spacing w:before="54"/>
      <w:ind w:left="57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99"/>
    <w:qFormat/>
    <w:rsid w:val="000A08CF"/>
    <w:pPr>
      <w:widowControl w:val="0"/>
      <w:spacing w:before="1"/>
      <w:ind w:left="164" w:right="179"/>
      <w:jc w:val="center"/>
      <w:outlineLvl w:val="1"/>
    </w:pPr>
    <w:rPr>
      <w:b/>
      <w:bCs/>
      <w:sz w:val="28"/>
      <w:szCs w:val="28"/>
      <w:lang w:val="en-US" w:eastAsia="en-US"/>
    </w:rPr>
  </w:style>
  <w:style w:type="character" w:styleId="a8">
    <w:name w:val="Hyperlink"/>
    <w:basedOn w:val="a0"/>
    <w:qFormat/>
    <w:rsid w:val="006566F9"/>
    <w:rPr>
      <w:color w:val="0000FF"/>
      <w:u w:val="single"/>
    </w:rPr>
  </w:style>
  <w:style w:type="character" w:customStyle="1" w:styleId="ListLabel10">
    <w:name w:val="ListLabel 10"/>
    <w:uiPriority w:val="99"/>
    <w:rsid w:val="009C0385"/>
  </w:style>
  <w:style w:type="character" w:customStyle="1" w:styleId="rvts23">
    <w:name w:val="rvts23"/>
    <w:basedOn w:val="a0"/>
    <w:qFormat/>
    <w:rsid w:val="00C551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6401</Words>
  <Characters>3650</Characters>
  <Application>Microsoft Office Word</Application>
  <DocSecurity>0</DocSecurity>
  <Lines>30</Lines>
  <Paragraphs>20</Paragraphs>
  <ScaleCrop>false</ScaleCrop>
  <Company>Microsoft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</cp:revision>
  <dcterms:created xsi:type="dcterms:W3CDTF">2019-01-02T13:09:00Z</dcterms:created>
  <dcterms:modified xsi:type="dcterms:W3CDTF">2020-03-10T13:08:00Z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