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BBD" w:rsidRDefault="0091085E">
      <w:pPr>
        <w:pStyle w:val="Textbody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АНАЛІЗ РЕГУЛЯТОРНОГО ВПЛИВУ</w:t>
      </w:r>
    </w:p>
    <w:p w:rsidR="00D22BBD" w:rsidRDefault="0091085E">
      <w:pPr>
        <w:pStyle w:val="Textbody"/>
        <w:jc w:val="center"/>
        <w:rPr>
          <w:lang w:val="uk-UA"/>
        </w:rPr>
      </w:pPr>
      <w:r>
        <w:rPr>
          <w:lang w:val="uk-UA"/>
        </w:rPr>
        <w:t xml:space="preserve">проекту рішення виконкому Сєвєродонецької міської ради «Про затвердження Порядку демонтажу тимчасових споруд для провадження підприємницької діяльності у  </w:t>
      </w:r>
      <w:r>
        <w:rPr>
          <w:lang w:val="uk-UA"/>
        </w:rPr>
        <w:t>місті Сєвєродонецьку»</w:t>
      </w:r>
    </w:p>
    <w:p w:rsidR="00D22BBD" w:rsidRPr="007C131F" w:rsidRDefault="0091085E">
      <w:pPr>
        <w:pStyle w:val="Textbody"/>
        <w:jc w:val="both"/>
        <w:rPr>
          <w:lang w:val="ru-RU"/>
        </w:rPr>
      </w:pPr>
      <w:r>
        <w:t xml:space="preserve">       </w:t>
      </w:r>
      <w:r>
        <w:rPr>
          <w:lang w:val="uk-UA"/>
        </w:rPr>
        <w:t>Аналіз регуляторного впливу розроблено на виконання та з дотриманням вимог статті 8 Закону України від 11.09.2003 №1160-</w:t>
      </w:r>
      <w:r>
        <w:t>IV</w:t>
      </w:r>
      <w:r>
        <w:t xml:space="preserve"> </w:t>
      </w:r>
      <w:r>
        <w:rPr>
          <w:lang w:val="uk-UA"/>
        </w:rPr>
        <w:t xml:space="preserve">«Про засади державної регуляторної політики у сфері господарської діяльності» та з урахуванням Методики </w:t>
      </w:r>
      <w:r>
        <w:rPr>
          <w:lang w:val="uk-UA"/>
        </w:rPr>
        <w:t>проведення аналізу впливу регуляторного акта, затвердженої Постановою Кабінету Міністрів України від 11.03.2004 № 308 (зі змінами, затвердженими Постановою Кабінету Міністрів України                     від 16.12.2015 № 1151).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>Аналіз визначає правові та ор</w:t>
      </w:r>
      <w:r>
        <w:rPr>
          <w:lang w:val="uk-UA"/>
        </w:rPr>
        <w:t>ганізаційні засади реалізації проекту вказаного регуляторного акта</w:t>
      </w:r>
    </w:p>
    <w:p w:rsidR="00D22BBD" w:rsidRPr="007C131F" w:rsidRDefault="0091085E">
      <w:pPr>
        <w:pStyle w:val="Textbody"/>
        <w:rPr>
          <w:lang w:val="ru-RU"/>
        </w:rPr>
      </w:pPr>
      <w:r>
        <w:t> </w:t>
      </w:r>
      <w:r w:rsidRPr="007C131F">
        <w:rPr>
          <w:lang w:val="ru-RU"/>
        </w:rPr>
        <w:t xml:space="preserve">                                                   </w:t>
      </w:r>
      <w:r>
        <w:rPr>
          <w:b/>
          <w:lang w:val="uk-UA"/>
        </w:rPr>
        <w:t>1. Визначення проблеми</w:t>
      </w:r>
      <w:r>
        <w:t> </w:t>
      </w:r>
    </w:p>
    <w:p w:rsidR="00D22BBD" w:rsidRDefault="0091085E">
      <w:pPr>
        <w:pStyle w:val="Textbody"/>
        <w:ind w:right="41" w:firstLine="708"/>
        <w:jc w:val="both"/>
        <w:rPr>
          <w:lang w:val="uk-UA"/>
        </w:rPr>
      </w:pPr>
      <w:r>
        <w:rPr>
          <w:lang w:val="uk-UA"/>
        </w:rPr>
        <w:t>Відповідно до пункту 2.30 Порядку розміщення тимчасових споруд для провадження підприємницької діяльності, затвер</w:t>
      </w:r>
      <w:r>
        <w:rPr>
          <w:lang w:val="uk-UA"/>
        </w:rPr>
        <w:t>дженого наказом Міністерства регіонального розвитку, будівництва та житлово-комунального господарства України від 21.10.2011 № 244, у разі закінчення строку дії, анулювання паспорта прив’язки, самовільного встановлення ТС для провадження підприємницької ді</w:t>
      </w:r>
      <w:r>
        <w:rPr>
          <w:lang w:val="uk-UA"/>
        </w:rPr>
        <w:t>яльності, така ТС підлягає демонтажу.</w:t>
      </w:r>
    </w:p>
    <w:p w:rsidR="00D22BBD" w:rsidRDefault="0091085E">
      <w:pPr>
        <w:pStyle w:val="Textbody"/>
        <w:ind w:right="41" w:firstLine="708"/>
        <w:jc w:val="both"/>
        <w:rPr>
          <w:lang w:val="uk-UA"/>
        </w:rPr>
      </w:pPr>
      <w:r>
        <w:rPr>
          <w:lang w:val="uk-UA"/>
        </w:rPr>
        <w:t xml:space="preserve">Разом з тим, порядок, який регламентує процедуру демонтажу,  відсутній. Дана проблема негативно впливає як на благоустрій міста Сєвєродонецька та утримання в належному стані його території, архітектурний вигляд міста, </w:t>
      </w:r>
      <w:r>
        <w:rPr>
          <w:lang w:val="uk-UA"/>
        </w:rPr>
        <w:t>його економічний розвиток. У випадках закінчення строку дії, анулювання дозвільної документації, самовільного встановлення ТС, зазначені споруди власниками ( користувачами), як правило, не демонтуються, що порушує право територіальної громади міста на воло</w:t>
      </w:r>
      <w:r>
        <w:rPr>
          <w:lang w:val="uk-UA"/>
        </w:rPr>
        <w:t>діння, користування,     розпорядження земельними ділянками комунальної власності, на яких розташовані ці ТС.</w:t>
      </w:r>
    </w:p>
    <w:p w:rsidR="00D22BBD" w:rsidRDefault="0091085E">
      <w:pPr>
        <w:pStyle w:val="Textbody"/>
        <w:ind w:right="41" w:firstLine="708"/>
        <w:jc w:val="both"/>
      </w:pPr>
      <w:r>
        <w:rPr>
          <w:lang w:val="uk-UA"/>
        </w:rPr>
        <w:t>Проблема демонтажу ТС, встановлених самовільно або з порушенням чинного законодавства, лишається законодавчо не врегульованою, та потребує правово</w:t>
      </w:r>
      <w:r>
        <w:rPr>
          <w:lang w:val="uk-UA"/>
        </w:rPr>
        <w:t>го врегулювання органами місцевого самоврядування. Тому, для вирішення даної проблеми існує необхідність прийняття нормативно-правового акту Сєвєродонецькою міською радою   “Порядок демонтажу тимчасових споруд для провадження підприємницької діяльності у м</w:t>
      </w:r>
      <w:r>
        <w:rPr>
          <w:lang w:val="uk-UA"/>
        </w:rPr>
        <w:t xml:space="preserve">істі Сєвєродонецьку”   </w:t>
      </w:r>
    </w:p>
    <w:p w:rsidR="00D22BBD" w:rsidRDefault="0091085E">
      <w:pPr>
        <w:pStyle w:val="Textbody"/>
        <w:jc w:val="center"/>
        <w:rPr>
          <w:lang w:val="uk-UA"/>
        </w:rPr>
      </w:pPr>
      <w:r>
        <w:rPr>
          <w:lang w:val="uk-UA"/>
        </w:rPr>
        <w:t>Основні групи (підгрупи), на які проблема справляє вплив: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t> 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1"/>
        <w:gridCol w:w="2783"/>
        <w:gridCol w:w="2484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43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Групи (підгрупи)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Так</w:t>
            </w: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Ні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43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Громадяни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</w:pPr>
            <w:r>
              <w:t> 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43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Держава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</w:pPr>
            <w:r>
              <w:t> +</w:t>
            </w: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D22BBD">
            <w:pPr>
              <w:pStyle w:val="TableContents"/>
              <w:spacing w:after="283"/>
              <w:jc w:val="center"/>
              <w:rPr>
                <w:lang w:val="uk-UA"/>
              </w:rPr>
            </w:pP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43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Територіальна громада м.Сєвєродонецька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</w:pPr>
            <w:r>
              <w:t> 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437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Суб'єкти господарювання, у тому числі суб'єкти малого підприємництва</w:t>
            </w:r>
          </w:p>
        </w:tc>
        <w:tc>
          <w:tcPr>
            <w:tcW w:w="278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248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center"/>
            </w:pPr>
            <w:r>
              <w:t> </w:t>
            </w:r>
          </w:p>
        </w:tc>
      </w:tr>
    </w:tbl>
    <w:p w:rsidR="00D22BBD" w:rsidRDefault="0091085E">
      <w:pPr>
        <w:pStyle w:val="Textbody"/>
        <w:jc w:val="center"/>
      </w:pPr>
      <w:r>
        <w:t>   </w:t>
      </w:r>
    </w:p>
    <w:p w:rsidR="00D22BBD" w:rsidRDefault="0091085E">
      <w:pPr>
        <w:pStyle w:val="Textbody"/>
        <w:jc w:val="center"/>
      </w:pPr>
      <w:r>
        <w:rPr>
          <w:b/>
          <w:lang w:val="uk-UA"/>
        </w:rPr>
        <w:t>2 Цілі державного регулювання</w:t>
      </w:r>
      <w:r>
        <w:t> </w:t>
      </w:r>
    </w:p>
    <w:p w:rsidR="00D22BBD" w:rsidRDefault="0091085E">
      <w:pPr>
        <w:pStyle w:val="Textbody"/>
        <w:ind w:firstLine="709"/>
        <w:jc w:val="both"/>
        <w:rPr>
          <w:lang w:val="uk-UA"/>
        </w:rPr>
      </w:pPr>
      <w:r>
        <w:rPr>
          <w:lang w:val="uk-UA"/>
        </w:rPr>
        <w:t xml:space="preserve">Цілями державного регулювання: покращення благоустрою та збереження архітектурного вигляду міста, ефективне використання ресурсів територіальної громади, </w:t>
      </w:r>
      <w:r>
        <w:rPr>
          <w:lang w:val="uk-UA"/>
        </w:rPr>
        <w:lastRenderedPageBreak/>
        <w:t xml:space="preserve">збереження охоронних зон інженерних мереж міста, врегулювання </w:t>
      </w:r>
      <w:r>
        <w:rPr>
          <w:lang w:val="uk-UA"/>
        </w:rPr>
        <w:t>процедури функціонування  ТС, встановлення єдиного Порядку демонтажу ТС на території міста Сєвєродонецька.</w:t>
      </w:r>
    </w:p>
    <w:p w:rsidR="00D22BBD" w:rsidRDefault="0091085E">
      <w:pPr>
        <w:pStyle w:val="Textbody"/>
      </w:pPr>
      <w:r>
        <w:t> 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rPr>
          <w:b/>
          <w:lang w:val="uk-UA"/>
        </w:rPr>
        <w:t>3. Визначення та оцінка альтернативних способів досягнення цілей</w:t>
      </w:r>
      <w:r>
        <w:t> </w:t>
      </w:r>
    </w:p>
    <w:p w:rsidR="00D22BBD" w:rsidRPr="007C131F" w:rsidRDefault="0091085E">
      <w:pPr>
        <w:pStyle w:val="Textbody"/>
        <w:jc w:val="both"/>
        <w:rPr>
          <w:lang w:val="ru-RU"/>
        </w:rPr>
      </w:pPr>
      <w:r w:rsidRPr="007C131F">
        <w:rPr>
          <w:lang w:val="ru-RU"/>
        </w:rPr>
        <w:t>В яко</w:t>
      </w:r>
      <w:r>
        <w:rPr>
          <w:lang w:val="uk-UA"/>
        </w:rPr>
        <w:t>сті альтернативи для досягнення встановлених цілей пропонується два способи:</w:t>
      </w:r>
    </w:p>
    <w:tbl>
      <w:tblPr>
        <w:tblW w:w="94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0"/>
        <w:gridCol w:w="5235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 альтернативи</w:t>
            </w:r>
          </w:p>
        </w:tc>
        <w:tc>
          <w:tcPr>
            <w:tcW w:w="52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Опис альтернативи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залишити дану ситуацію без змін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42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523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прийняття запропонованого регуляторного акту</w:t>
            </w:r>
          </w:p>
        </w:tc>
      </w:tr>
    </w:tbl>
    <w:p w:rsidR="00D22BBD" w:rsidRDefault="0091085E">
      <w:pPr>
        <w:pStyle w:val="Textbody"/>
        <w:jc w:val="both"/>
      </w:pPr>
      <w:r>
        <w:t> </w:t>
      </w:r>
    </w:p>
    <w:p w:rsidR="00D22BBD" w:rsidRDefault="0091085E">
      <w:pPr>
        <w:pStyle w:val="Textbody"/>
        <w:ind w:firstLine="708"/>
        <w:jc w:val="both"/>
      </w:pPr>
      <w:r>
        <w:rPr>
          <w:i/>
          <w:lang w:val="uk-UA"/>
        </w:rPr>
        <w:t>Перша альтернатива</w:t>
      </w:r>
      <w:r>
        <w:t xml:space="preserve"> </w:t>
      </w:r>
      <w:r>
        <w:rPr>
          <w:lang w:val="uk-UA"/>
        </w:rPr>
        <w:t>є неприйнятною для міської влади, оскільки, у разі відмови від прийняття цього Порядку, існує перешкода для планування і забудови, проведення комплексного благоустрою території міста, гальмується розвиток підприємницької діяльності в місті, зменшується до</w:t>
      </w:r>
      <w:r>
        <w:rPr>
          <w:lang w:val="uk-UA"/>
        </w:rPr>
        <w:t>даткових дохід до міського бюджету, погіршується рівень благоустрою міста.</w:t>
      </w:r>
    </w:p>
    <w:p w:rsidR="00D22BBD" w:rsidRDefault="0091085E">
      <w:pPr>
        <w:pStyle w:val="Textbody"/>
        <w:ind w:firstLine="708"/>
        <w:jc w:val="both"/>
        <w:rPr>
          <w:shd w:val="clear" w:color="auto" w:fill="FFFFFF"/>
        </w:rPr>
      </w:pPr>
      <w:r>
        <w:rPr>
          <w:shd w:val="clear" w:color="auto" w:fill="FFFFFF"/>
          <w:lang w:val="uk-UA"/>
        </w:rPr>
        <w:t xml:space="preserve">Застосування  </w:t>
      </w:r>
      <w:r>
        <w:rPr>
          <w:i/>
          <w:shd w:val="clear" w:color="auto" w:fill="FFFFFF"/>
          <w:lang w:val="uk-UA"/>
        </w:rPr>
        <w:t xml:space="preserve">другої альтернативи </w:t>
      </w:r>
      <w:r>
        <w:rPr>
          <w:shd w:val="clear" w:color="auto" w:fill="FFFFFF"/>
          <w:lang w:val="uk-UA"/>
        </w:rPr>
        <w:t> є найбільш прийнятною, оскільки це надасть можливість вирішення актуальних питань механізму демонтажу ТС.</w:t>
      </w:r>
      <w:r>
        <w:rPr>
          <w:shd w:val="clear" w:color="auto" w:fill="FFFFFF"/>
        </w:rPr>
        <w:t> </w:t>
      </w:r>
    </w:p>
    <w:p w:rsidR="00D22BBD" w:rsidRPr="007C131F" w:rsidRDefault="0091085E">
      <w:pPr>
        <w:pStyle w:val="Textbody"/>
        <w:ind w:firstLine="708"/>
        <w:jc w:val="center"/>
        <w:rPr>
          <w:lang w:val="ru-RU"/>
        </w:rPr>
      </w:pPr>
      <w:r>
        <w:rPr>
          <w:b/>
          <w:lang w:val="uk-UA"/>
        </w:rPr>
        <w:t>Оцінка впливу на сферу інтересів держав</w:t>
      </w:r>
      <w:r>
        <w:rPr>
          <w:b/>
          <w:lang w:val="uk-UA"/>
        </w:rPr>
        <w:t>и</w:t>
      </w:r>
      <w:r>
        <w:t> 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4755"/>
        <w:gridCol w:w="2385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</w:t>
            </w:r>
          </w:p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альтернативи</w:t>
            </w:r>
          </w:p>
        </w:tc>
        <w:tc>
          <w:tcPr>
            <w:tcW w:w="47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Вигоди</w:t>
            </w:r>
          </w:p>
        </w:tc>
        <w:tc>
          <w:tcPr>
            <w:tcW w:w="23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Витрати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475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>1.</w:t>
            </w:r>
            <w:r>
              <w:rPr>
                <w:lang w:val="uk-UA"/>
              </w:rPr>
              <w:t>   Створення прозорої системи прийняття рішень про демонтаж ТС </w:t>
            </w:r>
          </w:p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 xml:space="preserve">2.  </w:t>
            </w:r>
            <w:r>
              <w:rPr>
                <w:lang w:val="uk-UA"/>
              </w:rPr>
              <w:t>Підвищення рівня благоустрою міста Сєвєродонецька</w:t>
            </w:r>
          </w:p>
          <w:p w:rsidR="00D22BBD" w:rsidRDefault="0091085E">
            <w:pPr>
              <w:pStyle w:val="TableContents"/>
              <w:spacing w:after="112"/>
              <w:ind w:left="432" w:hanging="360"/>
              <w:rPr>
                <w:lang w:val="uk-UA"/>
              </w:rPr>
            </w:pPr>
            <w:r>
              <w:rPr>
                <w:lang w:val="uk-UA"/>
              </w:rPr>
              <w:t>3.Збереження охоронних зон інженерних мереж міста.</w:t>
            </w:r>
          </w:p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>4.</w:t>
            </w:r>
            <w:r>
              <w:rPr>
                <w:lang w:val="uk-UA"/>
              </w:rPr>
              <w:t>Оформлення права користування ТС до вимог чинного законодавства України.</w:t>
            </w:r>
          </w:p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>5.Отримання однакових прозорих можливостей розміщення ТС.</w:t>
            </w:r>
          </w:p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>6.</w:t>
            </w:r>
            <w:r>
              <w:rPr>
                <w:lang w:val="uk-UA"/>
              </w:rPr>
              <w:t>  Створення прозорої системи прийняття рішень про демонтаж</w:t>
            </w:r>
          </w:p>
          <w:p w:rsidR="00D22BBD" w:rsidRPr="007C131F" w:rsidRDefault="0091085E">
            <w:pPr>
              <w:pStyle w:val="TableContents"/>
              <w:spacing w:after="112"/>
              <w:ind w:left="432" w:hanging="360"/>
              <w:rPr>
                <w:lang w:val="ru-RU"/>
              </w:rPr>
            </w:pPr>
            <w:r>
              <w:rPr>
                <w:lang w:val="uk-UA"/>
              </w:rPr>
              <w:t>7.</w:t>
            </w:r>
            <w:r>
              <w:rPr>
                <w:lang w:val="uk-UA"/>
              </w:rPr>
              <w:t xml:space="preserve">      </w:t>
            </w:r>
            <w:r>
              <w:rPr>
                <w:lang w:val="uk-UA"/>
              </w:rPr>
              <w:t>Набуття позитивного іміджу владою міста в результаті в</w:t>
            </w:r>
            <w:r>
              <w:rPr>
                <w:lang w:val="uk-UA"/>
              </w:rPr>
              <w:t>регулювання процедури демонтажу ТС</w:t>
            </w:r>
          </w:p>
        </w:tc>
        <w:tc>
          <w:tcPr>
            <w:tcW w:w="238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Витрати на проведення демонтажу ТС</w:t>
            </w:r>
          </w:p>
        </w:tc>
      </w:tr>
    </w:tbl>
    <w:p w:rsidR="00D22BBD" w:rsidRPr="007C131F" w:rsidRDefault="0091085E">
      <w:pPr>
        <w:pStyle w:val="Textbody"/>
        <w:rPr>
          <w:lang w:val="ru-RU"/>
        </w:rPr>
      </w:pPr>
      <w:r>
        <w:t> </w:t>
      </w:r>
    </w:p>
    <w:p w:rsidR="00D22BBD" w:rsidRPr="007C131F" w:rsidRDefault="0091085E">
      <w:pPr>
        <w:pStyle w:val="Textbody"/>
        <w:rPr>
          <w:lang w:val="ru-RU"/>
        </w:rPr>
      </w:pPr>
      <w:r>
        <w:t> </w:t>
      </w:r>
      <w:r w:rsidRPr="007C131F">
        <w:rPr>
          <w:lang w:val="ru-RU"/>
        </w:rPr>
        <w:t xml:space="preserve">                                </w:t>
      </w:r>
    </w:p>
    <w:p w:rsidR="00D22BBD" w:rsidRPr="007C131F" w:rsidRDefault="0091085E">
      <w:pPr>
        <w:pStyle w:val="Textbody"/>
        <w:rPr>
          <w:lang w:val="ru-RU"/>
        </w:rPr>
      </w:pPr>
      <w:r w:rsidRPr="007C131F">
        <w:rPr>
          <w:lang w:val="ru-RU"/>
        </w:rPr>
        <w:t xml:space="preserve">                               </w:t>
      </w:r>
      <w:r>
        <w:rPr>
          <w:b/>
          <w:lang w:val="uk-UA"/>
        </w:rPr>
        <w:t>Оцінка впливу на сферу інтересів громадян</w:t>
      </w:r>
    </w:p>
    <w:p w:rsidR="00D22BBD" w:rsidRPr="007C131F" w:rsidRDefault="0091085E">
      <w:pPr>
        <w:pStyle w:val="Textbody"/>
        <w:rPr>
          <w:lang w:val="ru-RU"/>
        </w:rPr>
      </w:pPr>
      <w:r>
        <w:lastRenderedPageBreak/>
        <w:t> 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4320"/>
        <w:gridCol w:w="2820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</w:t>
            </w:r>
          </w:p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альтернативи</w:t>
            </w:r>
          </w:p>
        </w:tc>
        <w:tc>
          <w:tcPr>
            <w:tcW w:w="43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Вигоди</w:t>
            </w:r>
          </w:p>
        </w:tc>
        <w:tc>
          <w:tcPr>
            <w:tcW w:w="28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Витрати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43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Покращення благоустрою та  збереження архітектурного вигляду міста</w:t>
            </w:r>
          </w:p>
        </w:tc>
        <w:tc>
          <w:tcPr>
            <w:tcW w:w="28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</w:tbl>
    <w:p w:rsidR="00D22BBD" w:rsidRDefault="0091085E">
      <w:pPr>
        <w:pStyle w:val="Textbody"/>
      </w:pPr>
      <w:r>
        <w:t> </w:t>
      </w:r>
    </w:p>
    <w:p w:rsidR="00D22BBD" w:rsidRDefault="0091085E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Оцінка впливу на сферу інтересів суб'єктів господарювання</w:t>
      </w:r>
    </w:p>
    <w:p w:rsidR="00D22BBD" w:rsidRPr="007C131F" w:rsidRDefault="0091085E">
      <w:pPr>
        <w:pStyle w:val="Textbody"/>
        <w:rPr>
          <w:lang w:val="ru-RU"/>
        </w:rPr>
      </w:pPr>
      <w:r>
        <w:t> </w:t>
      </w: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1440"/>
        <w:gridCol w:w="1440"/>
        <w:gridCol w:w="4245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Показник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Великі</w:t>
            </w:r>
          </w:p>
        </w:tc>
        <w:tc>
          <w:tcPr>
            <w:tcW w:w="1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Середні</w:t>
            </w:r>
          </w:p>
        </w:tc>
        <w:tc>
          <w:tcPr>
            <w:tcW w:w="42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Малі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Кількість суб'єктів господарювання, що підпадають під дію регулювання, </w:t>
            </w:r>
            <w:r>
              <w:rPr>
                <w:lang w:val="uk-UA"/>
              </w:rPr>
              <w:t>одиниць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2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lang w:val="ru-RU"/>
              </w:rPr>
            </w:pPr>
            <w:r>
              <w:rPr>
                <w:lang w:val="ru-RU"/>
              </w:rPr>
              <w:t>78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Питома вага групи у загальній кількості, відсотків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424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ind w:left="72"/>
              <w:jc w:val="center"/>
            </w:pPr>
            <w:r>
              <w:t>100%</w:t>
            </w:r>
          </w:p>
        </w:tc>
      </w:tr>
    </w:tbl>
    <w:p w:rsidR="00D22BBD" w:rsidRDefault="0091085E">
      <w:pPr>
        <w:pStyle w:val="Textbody"/>
        <w:ind w:firstLine="708"/>
        <w:jc w:val="both"/>
      </w:pPr>
      <w:r>
        <w:t> 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3930"/>
        <w:gridCol w:w="3210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Вид</w:t>
            </w:r>
          </w:p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альтернативи</w:t>
            </w:r>
          </w:p>
        </w:tc>
        <w:tc>
          <w:tcPr>
            <w:tcW w:w="39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Вигоди</w:t>
            </w:r>
          </w:p>
        </w:tc>
        <w:tc>
          <w:tcPr>
            <w:tcW w:w="32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Витрати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Відсутні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393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Прозорість та зрозумілість процедури</w:t>
            </w:r>
          </w:p>
          <w:p w:rsidR="00D22BBD" w:rsidRDefault="0091085E">
            <w:pPr>
              <w:pStyle w:val="TableContents"/>
              <w:spacing w:after="55"/>
              <w:rPr>
                <w:lang w:val="uk-UA"/>
              </w:rPr>
            </w:pPr>
            <w:r>
              <w:rPr>
                <w:lang w:val="uk-UA"/>
              </w:rPr>
              <w:t>розміщення ТС та процедури демонтажу ТС</w:t>
            </w:r>
          </w:p>
          <w:p w:rsidR="00D22BBD" w:rsidRPr="007C131F" w:rsidRDefault="0091085E">
            <w:pPr>
              <w:pStyle w:val="TableContents"/>
              <w:spacing w:after="283"/>
              <w:ind w:left="72"/>
              <w:rPr>
                <w:lang w:val="ru-RU"/>
              </w:rPr>
            </w:pPr>
            <w:r>
              <w:t> </w:t>
            </w:r>
          </w:p>
        </w:tc>
        <w:tc>
          <w:tcPr>
            <w:tcW w:w="32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Витрати на </w:t>
            </w:r>
            <w:r>
              <w:rPr>
                <w:lang w:val="uk-UA"/>
              </w:rPr>
              <w:t>проведення демонтажу ТС</w:t>
            </w:r>
          </w:p>
        </w:tc>
      </w:tr>
    </w:tbl>
    <w:p w:rsidR="00D22BBD" w:rsidRPr="007C131F" w:rsidRDefault="0091085E">
      <w:pPr>
        <w:pStyle w:val="Textbody"/>
        <w:rPr>
          <w:lang w:val="ru-RU"/>
        </w:rPr>
      </w:pPr>
      <w:r>
        <w:t> 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rPr>
          <w:b/>
          <w:lang w:val="uk-UA"/>
        </w:rPr>
        <w:t>4. Вибір найбільш оптимального альтернативного способу досягнення цілей</w:t>
      </w:r>
      <w:r>
        <w:t> 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700"/>
        <w:gridCol w:w="4440"/>
      </w:tblGrid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Рейтинг результативності (досягнення цілей під час вирішення проблеми)</w:t>
            </w:r>
          </w:p>
        </w:tc>
        <w:tc>
          <w:tcPr>
            <w:tcW w:w="27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Бал результативності (за чотирибальною системою оцінки)</w:t>
            </w:r>
          </w:p>
        </w:tc>
        <w:tc>
          <w:tcPr>
            <w:tcW w:w="44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Коментарі щодо присвоєння </w:t>
            </w:r>
            <w:r>
              <w:rPr>
                <w:b/>
                <w:lang w:val="uk-UA"/>
              </w:rPr>
              <w:t>відповідного балу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Pr="007C131F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Проблема  </w:t>
            </w:r>
            <w:r>
              <w:rPr>
                <w:rStyle w:val="a5"/>
                <w:lang w:val="uk-UA"/>
              </w:rPr>
              <w:t>продовжуватиме існувати</w:t>
            </w:r>
            <w:r>
              <w:rPr>
                <w:rStyle w:val="a5"/>
                <w:lang w:val="uk-UA"/>
              </w:rPr>
              <w:t xml:space="preserve"> </w:t>
            </w:r>
            <w:r>
              <w:rPr>
                <w:lang w:val="uk-UA"/>
              </w:rPr>
              <w:t xml:space="preserve">із-за відсутності Порядку демонтажу </w:t>
            </w:r>
            <w:r>
              <w:rPr>
                <w:lang w:val="uk-UA"/>
              </w:rPr>
              <w:lastRenderedPageBreak/>
              <w:t>тимчасових споруд для провадження підприємницької діяльності у  місті Сєвєродонецьку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Альтернатива 2</w:t>
            </w:r>
          </w:p>
        </w:tc>
        <w:tc>
          <w:tcPr>
            <w:tcW w:w="27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44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Цілі прийняття регуляторного акта досягнуті, буде встановлена чітка та прозора процедура розміщення та демонтажу ТС </w:t>
            </w:r>
            <w:r>
              <w:rPr>
                <w:lang w:val="uk-UA"/>
              </w:rPr>
              <w:t>на території міста Сєвєродонецька</w:t>
            </w:r>
          </w:p>
        </w:tc>
      </w:tr>
    </w:tbl>
    <w:p w:rsidR="00D22BBD" w:rsidRPr="007C131F" w:rsidRDefault="0091085E">
      <w:pPr>
        <w:pStyle w:val="Textbody"/>
        <w:rPr>
          <w:lang w:val="ru-RU"/>
        </w:rPr>
      </w:pPr>
      <w:r>
        <w:t>  </w:t>
      </w:r>
    </w:p>
    <w:p w:rsidR="00D22BBD" w:rsidRPr="007C131F" w:rsidRDefault="0091085E">
      <w:pPr>
        <w:pStyle w:val="Textbody"/>
        <w:rPr>
          <w:lang w:val="ru-RU"/>
        </w:rPr>
      </w:pPr>
      <w:r>
        <w:t> 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15"/>
      </w:tblGrid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Рейтинг результативності</w:t>
            </w:r>
          </w:p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Вигоди (підсумок)</w:t>
            </w:r>
          </w:p>
        </w:tc>
        <w:tc>
          <w:tcPr>
            <w:tcW w:w="24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Витрати (підсумок)</w:t>
            </w:r>
          </w:p>
        </w:tc>
        <w:tc>
          <w:tcPr>
            <w:tcW w:w="24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8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Обгрунтування відповідного місця альтернативи у рейтингу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</w:pPr>
            <w:r>
              <w:rPr>
                <w:lang w:val="uk-UA"/>
              </w:rPr>
              <w:t xml:space="preserve">Проблема  </w:t>
            </w:r>
            <w:r>
              <w:rPr>
                <w:rStyle w:val="a5"/>
                <w:i w:val="0"/>
                <w:lang w:val="uk-UA"/>
              </w:rPr>
              <w:t>продовжуватиме існувати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0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Проблема вирішена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Рейтинг</w:t>
            </w:r>
          </w:p>
        </w:tc>
        <w:tc>
          <w:tcPr>
            <w:tcW w:w="4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Аргументи щодо переваги обраної альтернативи/причини відмови від альтернативи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Оцінка ризику зовнішніх чинників на дію запропонованого регуляторного акта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1</w:t>
            </w:r>
          </w:p>
        </w:tc>
        <w:tc>
          <w:tcPr>
            <w:tcW w:w="4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Існування проблеми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D22BBD" w:rsidRPr="007C131F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Альтернатива 2</w:t>
            </w:r>
          </w:p>
        </w:tc>
        <w:tc>
          <w:tcPr>
            <w:tcW w:w="48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jc w:val="center"/>
              <w:rPr>
                <w:lang w:val="uk-UA"/>
              </w:rPr>
            </w:pPr>
            <w:r>
              <w:rPr>
                <w:lang w:val="uk-UA"/>
              </w:rPr>
              <w:t>Вирішення проблеми</w:t>
            </w:r>
          </w:p>
        </w:tc>
        <w:tc>
          <w:tcPr>
            <w:tcW w:w="24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 xml:space="preserve">На дію даного акта </w:t>
            </w:r>
            <w:r>
              <w:rPr>
                <w:lang w:val="uk-UA"/>
              </w:rPr>
              <w:t>можливий вплив зовнішніх чинників – ухвалення змін та доповнень до чинного законодавства у цій сфері. В такому випадку необхідно буде вносити відповідні зміни до Порядку.</w:t>
            </w:r>
          </w:p>
        </w:tc>
      </w:tr>
    </w:tbl>
    <w:p w:rsidR="00D22BBD" w:rsidRPr="007C131F" w:rsidRDefault="0091085E">
      <w:pPr>
        <w:pStyle w:val="Textbody"/>
        <w:rPr>
          <w:lang w:val="ru-RU"/>
        </w:rPr>
      </w:pPr>
      <w:r>
        <w:t>  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rPr>
          <w:b/>
          <w:lang w:val="uk-UA"/>
        </w:rPr>
        <w:t>5. Механізм та заходи, які забезпечать розв'язання визначеної проблеми</w:t>
      </w:r>
      <w:r>
        <w:t> </w:t>
      </w:r>
    </w:p>
    <w:p w:rsidR="00D22BBD" w:rsidRDefault="0091085E">
      <w:pPr>
        <w:pStyle w:val="Textbody"/>
        <w:ind w:right="41" w:firstLine="720"/>
        <w:jc w:val="both"/>
        <w:rPr>
          <w:lang w:val="uk-UA"/>
        </w:rPr>
      </w:pPr>
      <w:r>
        <w:rPr>
          <w:lang w:val="uk-UA"/>
        </w:rPr>
        <w:t xml:space="preserve">Для </w:t>
      </w:r>
      <w:r>
        <w:rPr>
          <w:lang w:val="uk-UA"/>
        </w:rPr>
        <w:t>розв’язання проблеми зазначеної в розділі 1 цього Аналізу пропонується прийняти виконкомом міської ради рішення  «Про затвердження Порядку демонтажу тимчасових споруд для провадження підприємницької діяльності у  місті Сєвєродонецьку», яким:</w:t>
      </w:r>
    </w:p>
    <w:p w:rsidR="00D22BBD" w:rsidRPr="007C131F" w:rsidRDefault="0091085E">
      <w:pPr>
        <w:pStyle w:val="Textbody"/>
        <w:spacing w:after="0"/>
        <w:ind w:left="1080" w:right="41"/>
        <w:rPr>
          <w:lang w:val="uk-UA"/>
        </w:rPr>
      </w:pPr>
      <w:r>
        <w:rPr>
          <w:lang w:val="uk-UA"/>
        </w:rPr>
        <w:t>-</w:t>
      </w:r>
      <w:r>
        <w:rPr>
          <w:lang w:val="uk-UA"/>
        </w:rPr>
        <w:t>     </w:t>
      </w:r>
      <w:r>
        <w:rPr>
          <w:lang w:val="uk-UA"/>
        </w:rPr>
        <w:t>встанов</w:t>
      </w:r>
      <w:r>
        <w:rPr>
          <w:lang w:val="uk-UA"/>
        </w:rPr>
        <w:t xml:space="preserve">ити прозорий порядок процедури демонтажу тимчасових споруд для </w:t>
      </w:r>
      <w:r>
        <w:rPr>
          <w:lang w:val="uk-UA"/>
        </w:rPr>
        <w:lastRenderedPageBreak/>
        <w:t>провадження підприємницької діяльності з чіткою координацією суб’єктів, задіяних в процесі виявлення, прийняття рішення щодо демонтажу, проведення безпосереднього демонтажу ТС та її зберігання,</w:t>
      </w:r>
      <w:r>
        <w:rPr>
          <w:lang w:val="uk-UA"/>
        </w:rPr>
        <w:t xml:space="preserve"> а також повідомлення власника  ( користувача) ТС про вищезазначені дії.</w:t>
      </w:r>
    </w:p>
    <w:p w:rsidR="00D22BBD" w:rsidRDefault="0091085E">
      <w:pPr>
        <w:pStyle w:val="Textbody"/>
        <w:ind w:left="1080" w:hanging="360"/>
        <w:rPr>
          <w:lang w:val="uk-UA"/>
        </w:rPr>
      </w:pPr>
      <w:r>
        <w:rPr>
          <w:lang w:val="uk-UA"/>
        </w:rPr>
        <w:t xml:space="preserve">      </w:t>
      </w:r>
    </w:p>
    <w:p w:rsidR="00D22BBD" w:rsidRDefault="0091085E">
      <w:pPr>
        <w:pStyle w:val="Textbody"/>
        <w:ind w:firstLine="720"/>
        <w:jc w:val="both"/>
        <w:rPr>
          <w:lang w:val="uk-UA"/>
        </w:rPr>
      </w:pPr>
      <w:r>
        <w:rPr>
          <w:lang w:val="uk-UA"/>
        </w:rPr>
        <w:t>Прийняття запропонованого проекту рішення виконавчого комітету «Про затвердження Порядку демонтажу тимчасових споруд для провадження підприємницької діяльності у  місті Сєвєрод</w:t>
      </w:r>
      <w:r>
        <w:rPr>
          <w:lang w:val="uk-UA"/>
        </w:rPr>
        <w:t>онецьку» дасть можливість забезпечити вирішення саме зазначених у цьому аналізі проблем.</w:t>
      </w:r>
    </w:p>
    <w:p w:rsidR="00D22BBD" w:rsidRPr="007C131F" w:rsidRDefault="0091085E">
      <w:pPr>
        <w:pStyle w:val="Textbody"/>
        <w:rPr>
          <w:lang w:val="uk-UA"/>
        </w:rPr>
      </w:pPr>
      <w:r>
        <w:t> </w:t>
      </w:r>
    </w:p>
    <w:p w:rsidR="00D22BBD" w:rsidRDefault="0091085E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6. Оцінка виконання вимог регуляторного акта залежно від ресурсів, якими розпоряджаються органи виконавчої влади чи органи місцевого самоврядування, фізичні та юриди</w:t>
      </w:r>
      <w:r>
        <w:rPr>
          <w:b/>
          <w:lang w:val="uk-UA"/>
        </w:rPr>
        <w:t>чні особи, які повинні проваджувати або виконувати ці вимоги</w:t>
      </w:r>
    </w:p>
    <w:p w:rsidR="00D22BBD" w:rsidRPr="007C131F" w:rsidRDefault="0091085E">
      <w:pPr>
        <w:pStyle w:val="Textbody"/>
        <w:rPr>
          <w:lang w:val="uk-UA"/>
        </w:rPr>
      </w:pPr>
      <w:r>
        <w:t> </w:t>
      </w:r>
    </w:p>
    <w:p w:rsidR="00D22BBD" w:rsidRPr="007C131F" w:rsidRDefault="0091085E">
      <w:pPr>
        <w:pStyle w:val="Textbody"/>
        <w:rPr>
          <w:lang w:val="uk-UA"/>
        </w:rPr>
      </w:pPr>
      <w:r>
        <w:t>           </w:t>
      </w:r>
      <w:r w:rsidRPr="007C131F">
        <w:rPr>
          <w:lang w:val="uk-UA"/>
        </w:rPr>
        <w:t xml:space="preserve"> </w:t>
      </w:r>
      <w:r>
        <w:rPr>
          <w:lang w:val="uk-UA"/>
        </w:rPr>
        <w:t>Витрати на виконання вимог регуляторного акта з боку органів виконавчої влади або органів місцевого самоврядування та суб'єктів підприємництва відсутні.</w:t>
      </w:r>
    </w:p>
    <w:p w:rsidR="00D22BBD" w:rsidRPr="007C131F" w:rsidRDefault="0091085E">
      <w:pPr>
        <w:pStyle w:val="Textbody"/>
        <w:rPr>
          <w:lang w:val="uk-UA"/>
        </w:rPr>
      </w:pPr>
      <w:r>
        <w:t>   </w:t>
      </w:r>
    </w:p>
    <w:p w:rsidR="00D22BBD" w:rsidRDefault="0091085E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7. Обгрунтування запропо</w:t>
      </w:r>
      <w:r>
        <w:rPr>
          <w:b/>
          <w:lang w:val="uk-UA"/>
        </w:rPr>
        <w:t>нованого строку дії регуляторного акта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t> </w:t>
      </w:r>
    </w:p>
    <w:p w:rsidR="00D22BBD" w:rsidRPr="007C131F" w:rsidRDefault="0091085E">
      <w:pPr>
        <w:pStyle w:val="Textbody"/>
        <w:jc w:val="both"/>
        <w:rPr>
          <w:lang w:val="ru-RU"/>
        </w:rPr>
      </w:pPr>
      <w:r>
        <w:t>           </w:t>
      </w:r>
      <w:r w:rsidRPr="007C131F">
        <w:rPr>
          <w:lang w:val="ru-RU"/>
        </w:rPr>
        <w:t xml:space="preserve"> </w:t>
      </w:r>
      <w:r>
        <w:rPr>
          <w:lang w:val="uk-UA"/>
        </w:rPr>
        <w:t xml:space="preserve">Строк дії зазначеного регуляторного акта встановлюється як необмежений. У разі потреби, за підсумками відстеження його результативності, до нього будуть вноситься відповідні зміни. При виникненні змін у </w:t>
      </w:r>
      <w:r>
        <w:rPr>
          <w:lang w:val="uk-UA"/>
        </w:rPr>
        <w:t>чинному законодавстві, які можуть впливати на дію запропонованого регуляторного акта, до нього будуть вноситися необхідні корективи.</w:t>
      </w:r>
    </w:p>
    <w:p w:rsidR="00D22BBD" w:rsidRPr="007C131F" w:rsidRDefault="0091085E">
      <w:pPr>
        <w:pStyle w:val="Textbody"/>
        <w:jc w:val="both"/>
        <w:rPr>
          <w:lang w:val="ru-RU"/>
        </w:rPr>
      </w:pPr>
      <w:r>
        <w:t> </w:t>
      </w:r>
    </w:p>
    <w:p w:rsidR="00D22BBD" w:rsidRDefault="0091085E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8. Визначення показників результативності дії регуляторного акта.</w:t>
      </w:r>
    </w:p>
    <w:p w:rsidR="00D22BBD" w:rsidRPr="007C131F" w:rsidRDefault="0091085E">
      <w:pPr>
        <w:pStyle w:val="Textbody"/>
        <w:rPr>
          <w:lang w:val="ru-RU"/>
        </w:rPr>
      </w:pPr>
      <w:r>
        <w:t>            </w:t>
      </w:r>
      <w:r w:rsidRPr="007C131F">
        <w:rPr>
          <w:lang w:val="ru-RU"/>
        </w:rPr>
        <w:t xml:space="preserve"> </w:t>
      </w:r>
      <w:r>
        <w:rPr>
          <w:lang w:val="uk-UA"/>
        </w:rPr>
        <w:t>Ефективність  даного проекту регуляторного</w:t>
      </w:r>
      <w:r>
        <w:rPr>
          <w:lang w:val="uk-UA"/>
        </w:rPr>
        <w:t xml:space="preserve"> акту буде відстежуватись на підставі наступних показників:</w:t>
      </w:r>
    </w:p>
    <w:p w:rsidR="00D22BBD" w:rsidRPr="007C131F" w:rsidRDefault="0091085E">
      <w:pPr>
        <w:pStyle w:val="Textbody"/>
        <w:ind w:left="1080" w:hanging="360"/>
        <w:rPr>
          <w:lang w:val="ru-RU"/>
        </w:rPr>
      </w:pPr>
      <w:r>
        <w:rPr>
          <w:rFonts w:ascii="Symbol" w:hAnsi="Symbol"/>
          <w:lang w:val="uk-UA"/>
        </w:rPr>
        <w:t>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</w:t>
      </w:r>
      <w:r>
        <w:rPr>
          <w:lang w:val="uk-UA"/>
        </w:rPr>
        <w:t>кількість суб’єктів господарювання та/або фізичних осіб, на яких поширюватиметься дія акта;</w:t>
      </w:r>
    </w:p>
    <w:p w:rsidR="00D22BBD" w:rsidRPr="007C131F" w:rsidRDefault="0091085E">
      <w:pPr>
        <w:pStyle w:val="Textbody"/>
        <w:ind w:left="1080" w:hanging="360"/>
        <w:rPr>
          <w:lang w:val="ru-RU"/>
        </w:rPr>
      </w:pPr>
      <w:r>
        <w:rPr>
          <w:rFonts w:ascii="Symbol" w:hAnsi="Symbol"/>
          <w:lang w:val="uk-UA"/>
        </w:rPr>
        <w:t>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</w:t>
      </w:r>
      <w:r>
        <w:rPr>
          <w:lang w:val="uk-UA"/>
        </w:rPr>
        <w:t>кількість  прийнятих рішень щодо демонтажу тимчасових споруд;</w:t>
      </w:r>
    </w:p>
    <w:p w:rsidR="00D22BBD" w:rsidRPr="007C131F" w:rsidRDefault="0091085E">
      <w:pPr>
        <w:pStyle w:val="Textbody"/>
        <w:ind w:left="1080" w:hanging="360"/>
        <w:rPr>
          <w:lang w:val="ru-RU"/>
        </w:rPr>
      </w:pPr>
      <w:r>
        <w:rPr>
          <w:rFonts w:ascii="Symbol" w:hAnsi="Symbol"/>
          <w:lang w:val="uk-UA"/>
        </w:rPr>
        <w:t>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rFonts w:ascii="Symbol" w:hAnsi="Symbol"/>
          <w:lang w:val="uk-UA"/>
        </w:rPr>
        <w:t></w:t>
      </w:r>
      <w:r>
        <w:rPr>
          <w:lang w:val="uk-UA"/>
        </w:rPr>
        <w:t>   відсутність ска</w:t>
      </w:r>
      <w:r>
        <w:rPr>
          <w:lang w:val="uk-UA"/>
        </w:rPr>
        <w:t>рг від фізичних та юридичних осіб, їх об’єднань щодо невпорядкованості процедури розміщення та демонтажу тимчасових споруд для провадження підприємницької діяльності.</w:t>
      </w:r>
    </w:p>
    <w:p w:rsidR="00D22BBD" w:rsidRPr="007C131F" w:rsidRDefault="0091085E">
      <w:pPr>
        <w:pStyle w:val="Textbody"/>
        <w:rPr>
          <w:lang w:val="ru-RU"/>
        </w:rPr>
      </w:pPr>
      <w:r>
        <w:t> </w:t>
      </w:r>
    </w:p>
    <w:p w:rsidR="00D22BBD" w:rsidRDefault="0091085E">
      <w:pPr>
        <w:pStyle w:val="Textbody"/>
        <w:jc w:val="center"/>
        <w:rPr>
          <w:b/>
          <w:lang w:val="uk-UA"/>
        </w:rPr>
      </w:pPr>
      <w:r>
        <w:rPr>
          <w:b/>
          <w:lang w:val="uk-UA"/>
        </w:rPr>
        <w:t>9. Визначення заходів, за допомогою яких здійснюватиметься відстеження результативності</w:t>
      </w:r>
    </w:p>
    <w:p w:rsidR="00D22BBD" w:rsidRPr="007C131F" w:rsidRDefault="0091085E">
      <w:pPr>
        <w:pStyle w:val="Textbody"/>
        <w:jc w:val="center"/>
        <w:rPr>
          <w:lang w:val="ru-RU"/>
        </w:rPr>
      </w:pPr>
      <w:r>
        <w:t> </w:t>
      </w:r>
    </w:p>
    <w:p w:rsidR="00D22BBD" w:rsidRDefault="0091085E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>Відстеження результативності проекту рішення здійснюватиметься на підставі порівняння даних за показниками, визначеними у пункті 8 цього аналізу.</w:t>
      </w:r>
    </w:p>
    <w:p w:rsidR="00D22BBD" w:rsidRDefault="0091085E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 xml:space="preserve">Базове відстеження результативності регуляторного акта буде проведено до набрання чинності запропонованого </w:t>
      </w:r>
      <w:r>
        <w:rPr>
          <w:lang w:val="uk-UA"/>
        </w:rPr>
        <w:t>проекту регуляторного акта.</w:t>
      </w:r>
    </w:p>
    <w:p w:rsidR="00D22BBD" w:rsidRDefault="0091085E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>Повторне відстеження результативності дії акта буде проведено через рік з дня прийняття цього регуляторного акта.</w:t>
      </w:r>
    </w:p>
    <w:p w:rsidR="00D22BBD" w:rsidRDefault="0091085E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lastRenderedPageBreak/>
        <w:t>Періодичне відстеження має бути здійснено раз на три роки після проведення повторного відстеження результативності</w:t>
      </w:r>
      <w:r>
        <w:rPr>
          <w:lang w:val="uk-UA"/>
        </w:rPr>
        <w:t>, за кількісними показниками порівнюватися з показниками, визначеними під час повторного відстеження.</w:t>
      </w:r>
    </w:p>
    <w:p w:rsidR="00D22BBD" w:rsidRDefault="0091085E">
      <w:pPr>
        <w:pStyle w:val="Textbody"/>
        <w:ind w:firstLine="708"/>
        <w:jc w:val="both"/>
        <w:rPr>
          <w:lang w:val="uk-UA"/>
        </w:rPr>
      </w:pPr>
      <w:r>
        <w:rPr>
          <w:lang w:val="uk-UA"/>
        </w:rPr>
        <w:t xml:space="preserve">У разі виявлення неврегульованих та проблемних моментів, які передбачається встановлювати шляхом аналізу якісних та кількісних показників дії цього акта, </w:t>
      </w:r>
      <w:r>
        <w:rPr>
          <w:lang w:val="uk-UA"/>
        </w:rPr>
        <w:t>буде розглядатись можливість їх виправлення шляхом внесення відповідних змін.</w:t>
      </w:r>
    </w:p>
    <w:p w:rsidR="00D22BBD" w:rsidRPr="007C131F" w:rsidRDefault="0091085E">
      <w:pPr>
        <w:pStyle w:val="Textbody"/>
        <w:ind w:firstLine="708"/>
        <w:jc w:val="both"/>
        <w:rPr>
          <w:lang w:val="uk-UA"/>
        </w:rPr>
      </w:pPr>
      <w:r>
        <w:t> </w:t>
      </w:r>
    </w:p>
    <w:p w:rsidR="00D22BBD" w:rsidRPr="007C131F" w:rsidRDefault="0091085E">
      <w:pPr>
        <w:pStyle w:val="Textbody"/>
        <w:ind w:firstLine="708"/>
        <w:rPr>
          <w:lang w:val="uk-UA"/>
        </w:rPr>
      </w:pPr>
      <w:r>
        <w:t> </w:t>
      </w:r>
    </w:p>
    <w:p w:rsidR="00D22BBD" w:rsidRPr="007C131F" w:rsidRDefault="0091085E">
      <w:pPr>
        <w:pStyle w:val="Textbody"/>
        <w:ind w:firstLine="708"/>
        <w:rPr>
          <w:lang w:val="uk-UA"/>
        </w:rPr>
      </w:pPr>
      <w:r>
        <w:t> </w:t>
      </w:r>
    </w:p>
    <w:p w:rsidR="00D22BBD" w:rsidRPr="007C131F" w:rsidRDefault="0091085E">
      <w:pPr>
        <w:pStyle w:val="Textbody"/>
        <w:ind w:firstLine="708"/>
        <w:rPr>
          <w:lang w:val="uk-UA"/>
        </w:rPr>
      </w:pPr>
      <w:r>
        <w:t> </w:t>
      </w:r>
    </w:p>
    <w:tbl>
      <w:tblPr>
        <w:tblW w:w="97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5"/>
        <w:gridCol w:w="2625"/>
      </w:tblGrid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Заступник міського голови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І.Е.Слєсарєв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</w:pPr>
            <w:r>
              <w:t> 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  <w:jc w:val="both"/>
            </w:pPr>
            <w:r>
              <w:t> 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</w:pPr>
            <w:r>
              <w:t> 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D22BBD">
            <w:pPr>
              <w:pStyle w:val="TableContents"/>
              <w:spacing w:after="283"/>
            </w:pP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</w:pPr>
            <w:r>
              <w:t> 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  <w:jc w:val="both"/>
            </w:pPr>
            <w:r>
              <w:t> 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  <w:rPr>
                <w:lang w:val="uk-UA"/>
              </w:rPr>
            </w:pPr>
            <w:r>
              <w:rPr>
                <w:lang w:val="uk-UA"/>
              </w:rPr>
              <w:t>Підготував: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 w:line="360" w:lineRule="auto"/>
              <w:jc w:val="both"/>
            </w:pPr>
            <w:r>
              <w:t> </w:t>
            </w:r>
          </w:p>
        </w:tc>
      </w:tr>
      <w:tr w:rsidR="00D22BBD">
        <w:tblPrEx>
          <w:tblCellMar>
            <w:top w:w="0" w:type="dxa"/>
            <w:bottom w:w="0" w:type="dxa"/>
          </w:tblCellMar>
        </w:tblPrEx>
        <w:tc>
          <w:tcPr>
            <w:tcW w:w="70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rPr>
                <w:lang w:val="uk-UA"/>
              </w:rPr>
            </w:pPr>
            <w:r>
              <w:rPr>
                <w:lang w:val="uk-UA"/>
              </w:rPr>
              <w:t>Начальник відділу по контролю за благоустроєм та санітарним станом міста</w:t>
            </w:r>
          </w:p>
        </w:tc>
        <w:tc>
          <w:tcPr>
            <w:tcW w:w="26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22BBD" w:rsidRDefault="0091085E">
            <w:pPr>
              <w:pStyle w:val="TableContents"/>
              <w:spacing w:after="283"/>
              <w:jc w:val="both"/>
              <w:rPr>
                <w:lang w:val="uk-UA"/>
              </w:rPr>
            </w:pPr>
            <w:r>
              <w:rPr>
                <w:lang w:val="uk-UA"/>
              </w:rPr>
              <w:t>Д.В.Комишан</w:t>
            </w:r>
          </w:p>
        </w:tc>
      </w:tr>
    </w:tbl>
    <w:p w:rsidR="00D22BBD" w:rsidRDefault="0091085E">
      <w:pPr>
        <w:pStyle w:val="Textbody"/>
      </w:pPr>
      <w:r>
        <w:t> </w:t>
      </w:r>
    </w:p>
    <w:p w:rsidR="00D22BBD" w:rsidRDefault="0091085E">
      <w:pPr>
        <w:pStyle w:val="Textbody"/>
        <w:widowControl/>
        <w:spacing w:after="0"/>
        <w:jc w:val="both"/>
        <w:rPr>
          <w:color w:val="5A5A5A"/>
        </w:rPr>
      </w:pPr>
      <w:r>
        <w:rPr>
          <w:color w:val="5A5A5A"/>
        </w:rPr>
        <w:t>           </w:t>
      </w:r>
    </w:p>
    <w:p w:rsidR="00D22BBD" w:rsidRDefault="00D22BBD">
      <w:pPr>
        <w:pStyle w:val="Standard"/>
      </w:pPr>
    </w:p>
    <w:sectPr w:rsidR="00D22BB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85E" w:rsidRDefault="0091085E">
      <w:r>
        <w:separator/>
      </w:r>
    </w:p>
  </w:endnote>
  <w:endnote w:type="continuationSeparator" w:id="0">
    <w:p w:rsidR="0091085E" w:rsidRDefault="0091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85E" w:rsidRDefault="0091085E">
      <w:r>
        <w:rPr>
          <w:color w:val="000000"/>
        </w:rPr>
        <w:separator/>
      </w:r>
    </w:p>
  </w:footnote>
  <w:footnote w:type="continuationSeparator" w:id="0">
    <w:p w:rsidR="0091085E" w:rsidRDefault="009108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22BBD"/>
    <w:rsid w:val="007C131F"/>
    <w:rsid w:val="0091085E"/>
    <w:rsid w:val="00D2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0EE01-0904-4BC0-A858-87E50D4F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styleId="a5">
    <w:name w:val="Emphasis"/>
    <w:rPr>
      <w:i/>
      <w:iCs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1432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Irina-i5</dc:creator>
  <cp:lastModifiedBy>Irina-i5</cp:lastModifiedBy>
  <cp:revision>2</cp:revision>
  <cp:lastPrinted>2018-04-05T09:40:00Z</cp:lastPrinted>
  <dcterms:created xsi:type="dcterms:W3CDTF">2018-04-12T06:19:00Z</dcterms:created>
  <dcterms:modified xsi:type="dcterms:W3CDTF">2018-04-12T06:19:00Z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