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F2" w:rsidRPr="00AC02BC" w:rsidRDefault="00E07FC1" w:rsidP="009416AB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332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Звіт</w:t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74015A" w:rsidRPr="0074015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організаційного </w:t>
      </w:r>
      <w:r w:rsidRPr="0074015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відділу </w:t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міської ради</w:t>
      </w:r>
      <w:r w:rsidR="0074015A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за 2015 рік</w:t>
      </w:r>
    </w:p>
    <w:p w:rsidR="00E07FC1" w:rsidRPr="00B17059" w:rsidRDefault="00E07FC1" w:rsidP="004B2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FC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>1. Інформація про виконання самоврядних повноважень згідно Закону України «Про місцеве самоврядування в Україні»:</w:t>
      </w:r>
    </w:p>
    <w:p w:rsidR="00E07FC1" w:rsidRPr="00B17059" w:rsidRDefault="00571C4F" w:rsidP="004B2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9BE" w:rsidRPr="00B17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39BE" w:rsidRPr="00B17059">
        <w:rPr>
          <w:rFonts w:ascii="Times New Roman" w:hAnsi="Times New Roman" w:cs="Times New Roman"/>
          <w:b/>
          <w:sz w:val="28"/>
          <w:szCs w:val="28"/>
        </w:rPr>
        <w:t xml:space="preserve">Ст. 39 </w:t>
      </w:r>
      <w:r w:rsidR="00E939BE" w:rsidRPr="00B17059">
        <w:rPr>
          <w:rFonts w:ascii="Times New Roman" w:hAnsi="Times New Roman" w:cs="Times New Roman"/>
          <w:b/>
          <w:sz w:val="28"/>
          <w:szCs w:val="28"/>
          <w:lang w:val="uk-UA"/>
        </w:rPr>
        <w:t>Повноваження щодо відзначення державними нагородами України:</w:t>
      </w:r>
    </w:p>
    <w:p w:rsidR="00DC70A1" w:rsidRPr="00B17059" w:rsidRDefault="00E939BE" w:rsidP="00DC7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відділом було підготовлено три комплекти документів на нагородження Почесною грамотою Кабінету Міністрів України з нагоди введення в експлуатацію моста через р. Борова, зруйнованого під час </w:t>
      </w:r>
      <w:r w:rsidR="00B1705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бойових дій</w:t>
      </w:r>
      <w:r w:rsidR="00DC70A1" w:rsidRPr="00B170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39BE" w:rsidRPr="00B17059" w:rsidRDefault="00DC70A1" w:rsidP="00834F01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До професійного свята було підготовлено подання з відповідним комплектом документів на нагородження </w:t>
      </w:r>
      <w:proofErr w:type="spellStart"/>
      <w:r w:rsidRPr="00B17059">
        <w:rPr>
          <w:rFonts w:ascii="Times New Roman" w:hAnsi="Times New Roman" w:cs="Times New Roman"/>
          <w:sz w:val="28"/>
          <w:szCs w:val="28"/>
          <w:lang w:val="uk-UA"/>
        </w:rPr>
        <w:t>Носовець</w:t>
      </w:r>
      <w:proofErr w:type="spellEnd"/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С.В. Грамотою Міністерства соціальної політики України.</w:t>
      </w:r>
    </w:p>
    <w:p w:rsidR="00E07FC1" w:rsidRPr="00B17059" w:rsidRDefault="00E07FC1" w:rsidP="00834F01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Інформація про виконання </w:t>
      </w:r>
      <w:r w:rsidR="004B2196" w:rsidRPr="00B17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>делегованих повноважень згідно Закону України «Про місцеве самоврядування в Україні»:</w:t>
      </w:r>
    </w:p>
    <w:p w:rsidR="00E939BE" w:rsidRPr="00B17059" w:rsidRDefault="00E939BE" w:rsidP="00E939B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Виконання делегованих повноважень згідно Закону України «Про місцеве самоврядування» не належить до функцій відділу.</w:t>
      </w:r>
    </w:p>
    <w:p w:rsidR="00E07FC1" w:rsidRPr="00B17059" w:rsidRDefault="00E07FC1" w:rsidP="00E07FC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b/>
          <w:sz w:val="28"/>
          <w:szCs w:val="28"/>
          <w:lang w:val="uk-UA"/>
        </w:rPr>
        <w:t>3. Інформація про виконання загальних повноважень:</w:t>
      </w:r>
    </w:p>
    <w:p w:rsidR="00C87F5C" w:rsidRPr="00B17059" w:rsidRDefault="00571C4F" w:rsidP="00571C4F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 xml:space="preserve">За  звітний період </w:t>
      </w:r>
      <w:r w:rsidR="00D61588" w:rsidRPr="00B17059">
        <w:rPr>
          <w:sz w:val="28"/>
          <w:szCs w:val="28"/>
        </w:rPr>
        <w:t xml:space="preserve">організаційним </w:t>
      </w:r>
      <w:r w:rsidRPr="00B17059">
        <w:rPr>
          <w:sz w:val="28"/>
          <w:szCs w:val="28"/>
        </w:rPr>
        <w:t>відділом виконувалась робота в межах  затверджених  посадових обов’язків, від</w:t>
      </w:r>
      <w:r w:rsidR="00D61588" w:rsidRPr="00B17059">
        <w:rPr>
          <w:sz w:val="28"/>
          <w:szCs w:val="28"/>
        </w:rPr>
        <w:t xml:space="preserve">повідно до положення про відділ. </w:t>
      </w:r>
    </w:p>
    <w:p w:rsidR="00571C4F" w:rsidRPr="00B17059" w:rsidRDefault="00C87F5C" w:rsidP="00834F01">
      <w:pPr>
        <w:pStyle w:val="a4"/>
        <w:ind w:firstLine="708"/>
        <w:rPr>
          <w:sz w:val="28"/>
          <w:szCs w:val="28"/>
        </w:rPr>
      </w:pPr>
      <w:r w:rsidRPr="00B17059">
        <w:rPr>
          <w:sz w:val="28"/>
          <w:szCs w:val="28"/>
        </w:rPr>
        <w:t xml:space="preserve">Згідно покладених на відділ завдань організаційно забезпечено проведення </w:t>
      </w:r>
      <w:r w:rsidR="00834F01" w:rsidRPr="00B17059">
        <w:rPr>
          <w:sz w:val="28"/>
          <w:szCs w:val="28"/>
        </w:rPr>
        <w:t xml:space="preserve">місцевих </w:t>
      </w:r>
      <w:r w:rsidRPr="00B17059">
        <w:rPr>
          <w:sz w:val="28"/>
          <w:szCs w:val="28"/>
        </w:rPr>
        <w:t>виборів</w:t>
      </w:r>
      <w:r w:rsidR="00834F01" w:rsidRPr="00B17059">
        <w:rPr>
          <w:sz w:val="28"/>
          <w:szCs w:val="28"/>
        </w:rPr>
        <w:t xml:space="preserve"> 25 жовтня 2015 року: було підготовлено розпорядження міського голови щодо створення робочої групи зі сприяння організації проведення місцевих виборів; розробл</w:t>
      </w:r>
      <w:r w:rsidR="00877C13" w:rsidRPr="00B17059">
        <w:rPr>
          <w:sz w:val="28"/>
          <w:szCs w:val="28"/>
        </w:rPr>
        <w:t>ено</w:t>
      </w:r>
      <w:r w:rsidR="00834F01" w:rsidRPr="00B17059">
        <w:rPr>
          <w:sz w:val="28"/>
          <w:szCs w:val="28"/>
        </w:rPr>
        <w:t xml:space="preserve"> графіки чергування працівників міської ради на час проведення виборів.</w:t>
      </w:r>
    </w:p>
    <w:p w:rsidR="00784E0C" w:rsidRDefault="00571C4F" w:rsidP="00571C4F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 xml:space="preserve">Протягом року </w:t>
      </w:r>
      <w:r w:rsidR="00B17059">
        <w:rPr>
          <w:sz w:val="28"/>
          <w:szCs w:val="28"/>
        </w:rPr>
        <w:t>готува</w:t>
      </w:r>
      <w:r w:rsidRPr="00B17059">
        <w:rPr>
          <w:sz w:val="28"/>
          <w:szCs w:val="28"/>
        </w:rPr>
        <w:t>л</w:t>
      </w:r>
      <w:r w:rsidR="006464D7" w:rsidRPr="00B17059">
        <w:rPr>
          <w:sz w:val="28"/>
          <w:szCs w:val="28"/>
        </w:rPr>
        <w:t>ись</w:t>
      </w:r>
      <w:r w:rsidRPr="00B17059">
        <w:rPr>
          <w:sz w:val="28"/>
          <w:szCs w:val="28"/>
        </w:rPr>
        <w:t xml:space="preserve"> нормативні документи </w:t>
      </w:r>
      <w:r w:rsidR="00B17059">
        <w:rPr>
          <w:sz w:val="28"/>
          <w:szCs w:val="28"/>
        </w:rPr>
        <w:t>з</w:t>
      </w:r>
      <w:r w:rsidRPr="00B17059">
        <w:rPr>
          <w:sz w:val="28"/>
          <w:szCs w:val="28"/>
        </w:rPr>
        <w:t xml:space="preserve"> </w:t>
      </w:r>
      <w:r w:rsidR="00B17059">
        <w:rPr>
          <w:sz w:val="28"/>
          <w:szCs w:val="28"/>
        </w:rPr>
        <w:t>компетенції</w:t>
      </w:r>
      <w:r w:rsidRPr="00B17059">
        <w:rPr>
          <w:sz w:val="28"/>
          <w:szCs w:val="28"/>
        </w:rPr>
        <w:t xml:space="preserve"> відділу,  а саме: проекти рішень виконавчого комітету, </w:t>
      </w:r>
      <w:r w:rsidR="00CF1AC0" w:rsidRPr="00B17059">
        <w:rPr>
          <w:sz w:val="28"/>
          <w:szCs w:val="28"/>
        </w:rPr>
        <w:t xml:space="preserve">сесій міської ради, </w:t>
      </w:r>
      <w:r w:rsidRPr="00B17059">
        <w:rPr>
          <w:sz w:val="28"/>
          <w:szCs w:val="28"/>
        </w:rPr>
        <w:t>розпоряджень міського голови, виконувал</w:t>
      </w:r>
      <w:r w:rsidR="006464D7" w:rsidRPr="00B17059">
        <w:rPr>
          <w:sz w:val="28"/>
          <w:szCs w:val="28"/>
        </w:rPr>
        <w:t>ись</w:t>
      </w:r>
      <w:r w:rsidRPr="00B17059">
        <w:rPr>
          <w:sz w:val="28"/>
          <w:szCs w:val="28"/>
        </w:rPr>
        <w:t xml:space="preserve"> доручення керівництва міської ради</w:t>
      </w:r>
      <w:r w:rsidR="00B17059">
        <w:rPr>
          <w:sz w:val="28"/>
          <w:szCs w:val="28"/>
        </w:rPr>
        <w:t>.</w:t>
      </w:r>
      <w:r w:rsidRPr="00B17059">
        <w:rPr>
          <w:sz w:val="28"/>
          <w:szCs w:val="28"/>
        </w:rPr>
        <w:t xml:space="preserve"> </w:t>
      </w:r>
    </w:p>
    <w:p w:rsidR="00571C4F" w:rsidRPr="00B17059" w:rsidRDefault="00784E0C" w:rsidP="00784E0C">
      <w:pPr>
        <w:pStyle w:val="a4"/>
        <w:ind w:firstLine="708"/>
        <w:rPr>
          <w:sz w:val="28"/>
          <w:szCs w:val="28"/>
        </w:rPr>
      </w:pPr>
      <w:r w:rsidRPr="00B17059">
        <w:rPr>
          <w:sz w:val="28"/>
          <w:szCs w:val="28"/>
        </w:rPr>
        <w:t>Забезпечувалось виконання контрольних доручень облдержадміністрації</w:t>
      </w:r>
      <w:r>
        <w:rPr>
          <w:sz w:val="28"/>
          <w:szCs w:val="28"/>
        </w:rPr>
        <w:t xml:space="preserve"> </w:t>
      </w:r>
      <w:r w:rsidRPr="00B17059">
        <w:rPr>
          <w:sz w:val="28"/>
          <w:szCs w:val="28"/>
        </w:rPr>
        <w:t xml:space="preserve">та інформування оргвідділу </w:t>
      </w:r>
      <w:r>
        <w:rPr>
          <w:sz w:val="28"/>
          <w:szCs w:val="28"/>
        </w:rPr>
        <w:t>ОДА</w:t>
      </w:r>
      <w:r w:rsidRPr="00B17059">
        <w:rPr>
          <w:sz w:val="28"/>
          <w:szCs w:val="28"/>
        </w:rPr>
        <w:t xml:space="preserve"> про заходи Сєвєродонецької міської ради на наступний тиждень. Протягом року підготовлено та відправлено на електронну адресу куратора міста 365 таких інформацій.</w:t>
      </w:r>
    </w:p>
    <w:p w:rsidR="00302E78" w:rsidRPr="00B17059" w:rsidRDefault="002F51ED" w:rsidP="00CF1AC0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>За  звітний період п</w:t>
      </w:r>
      <w:r w:rsidR="00571C4F" w:rsidRPr="00B17059">
        <w:rPr>
          <w:sz w:val="28"/>
          <w:szCs w:val="28"/>
        </w:rPr>
        <w:t xml:space="preserve">ідготовлено </w:t>
      </w:r>
      <w:r w:rsidR="00CF1AC0" w:rsidRPr="00B17059">
        <w:rPr>
          <w:sz w:val="28"/>
          <w:szCs w:val="28"/>
        </w:rPr>
        <w:t>18 розпоряджень міського голови про скликання  13-ти сесій (VI скликання) та 2-х (VII скликання</w:t>
      </w:r>
      <w:r w:rsidR="00302E78" w:rsidRPr="00B17059">
        <w:rPr>
          <w:sz w:val="28"/>
          <w:szCs w:val="28"/>
        </w:rPr>
        <w:t>).</w:t>
      </w:r>
    </w:p>
    <w:p w:rsidR="002A3319" w:rsidRPr="00B17059" w:rsidRDefault="002A3319" w:rsidP="00CF1AC0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 xml:space="preserve">До архівного відділу міської ради передано на постійне зберігання </w:t>
      </w:r>
      <w:r w:rsidR="00822D67" w:rsidRPr="00B17059">
        <w:rPr>
          <w:sz w:val="28"/>
          <w:szCs w:val="28"/>
        </w:rPr>
        <w:t>108 томів протоколів сесій міської ради VI скликання та 108 томів документів до протоколів;</w:t>
      </w:r>
      <w:r w:rsidR="00877C13" w:rsidRPr="00B17059">
        <w:rPr>
          <w:sz w:val="28"/>
          <w:szCs w:val="28"/>
        </w:rPr>
        <w:t xml:space="preserve"> 15 томів протоколів засідань постійних комісій VI скликання.</w:t>
      </w:r>
    </w:p>
    <w:p w:rsidR="00784E0C" w:rsidRDefault="00123C09" w:rsidP="00784E0C">
      <w:pPr>
        <w:pStyle w:val="a4"/>
        <w:ind w:left="142" w:firstLine="567"/>
        <w:rPr>
          <w:sz w:val="28"/>
          <w:szCs w:val="28"/>
        </w:rPr>
      </w:pPr>
      <w:r w:rsidRPr="00B17059">
        <w:rPr>
          <w:sz w:val="28"/>
          <w:szCs w:val="28"/>
        </w:rPr>
        <w:t xml:space="preserve">Надавалась допомога </w:t>
      </w:r>
      <w:r w:rsidR="00B17059" w:rsidRPr="00B17059">
        <w:rPr>
          <w:sz w:val="28"/>
          <w:szCs w:val="28"/>
        </w:rPr>
        <w:t>в підготовці і проведенні засідань постійних комісій міської ради.</w:t>
      </w:r>
    </w:p>
    <w:p w:rsidR="00784E0C" w:rsidRDefault="00784E0C" w:rsidP="00784E0C">
      <w:pPr>
        <w:pStyle w:val="a4"/>
        <w:ind w:left="142" w:firstLine="567"/>
        <w:rPr>
          <w:sz w:val="28"/>
          <w:szCs w:val="28"/>
        </w:rPr>
      </w:pPr>
      <w:r w:rsidRPr="00784E0C">
        <w:rPr>
          <w:sz w:val="28"/>
          <w:szCs w:val="28"/>
        </w:rPr>
        <w:t xml:space="preserve"> </w:t>
      </w:r>
      <w:r w:rsidRPr="00B17059">
        <w:rPr>
          <w:sz w:val="28"/>
          <w:szCs w:val="28"/>
        </w:rPr>
        <w:t xml:space="preserve">Здійснювався прийом громадян з питань, віднесених до компетенції відділу.   </w:t>
      </w:r>
    </w:p>
    <w:p w:rsidR="00BC1717" w:rsidRPr="00B17059" w:rsidRDefault="00BC1717" w:rsidP="00B17059">
      <w:pPr>
        <w:pStyle w:val="a4"/>
        <w:ind w:left="142" w:firstLine="567"/>
        <w:rPr>
          <w:sz w:val="28"/>
          <w:szCs w:val="28"/>
        </w:rPr>
      </w:pPr>
    </w:p>
    <w:p w:rsidR="003B373E" w:rsidRPr="00B17059" w:rsidRDefault="009F45AA" w:rsidP="009F45AA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Відділом б</w:t>
      </w:r>
      <w:r w:rsidR="00877C13" w:rsidRPr="00B17059">
        <w:rPr>
          <w:rFonts w:ascii="Times New Roman" w:hAnsi="Times New Roman" w:cs="Times New Roman"/>
          <w:sz w:val="28"/>
          <w:szCs w:val="28"/>
          <w:lang w:val="uk-UA"/>
        </w:rPr>
        <w:t>уло підготовлено два нормативно-правові акти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877C13" w:rsidRPr="00B17059">
        <w:rPr>
          <w:rFonts w:ascii="Times New Roman" w:hAnsi="Times New Roman" w:cs="Times New Roman"/>
          <w:sz w:val="28"/>
          <w:szCs w:val="28"/>
          <w:lang w:val="uk-UA"/>
        </w:rPr>
        <w:t>: розпорядження міського голови «</w:t>
      </w:r>
      <w:r w:rsidR="00877C13" w:rsidRPr="00B170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 Порядку надання</w:t>
      </w:r>
      <w:r w:rsidR="00877C13" w:rsidRPr="00B170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7C13" w:rsidRPr="00B170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проектів рішень, та рішень, що ухвалені</w:t>
      </w:r>
      <w:r w:rsidR="00877C13" w:rsidRPr="00B170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7C13" w:rsidRPr="00B170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 сесіях, для оприлюднення на офіційному</w:t>
      </w:r>
      <w:r w:rsidR="00877C13" w:rsidRPr="00B170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7C13" w:rsidRPr="00B170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сайті Сєвєродонецької міської ради</w:t>
      </w:r>
      <w:r w:rsidR="00877C13" w:rsidRPr="00B170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7C13" w:rsidRPr="00B170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 новій редакції</w:t>
      </w:r>
      <w:r w:rsidR="00877C13" w:rsidRPr="00B170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рішення сесії міської ради </w:t>
      </w:r>
      <w:r w:rsidRPr="00B17059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B373E" w:rsidRPr="00B170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затвердження Плану роботи Сєвєродонецької міської ради та її виконавчих органів на 2016 рік і звіт про виконання Плану роботи</w:t>
      </w:r>
      <w:r w:rsidR="003B373E" w:rsidRPr="00B170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ради та її</w:t>
      </w:r>
      <w:r w:rsidR="003B373E" w:rsidRPr="00B1705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373E" w:rsidRPr="00B17059">
        <w:rPr>
          <w:rFonts w:ascii="Times New Roman" w:hAnsi="Times New Roman" w:cs="Times New Roman"/>
          <w:sz w:val="28"/>
          <w:szCs w:val="28"/>
          <w:lang w:val="uk-UA"/>
        </w:rPr>
        <w:t>виконавчих органів за 2015 рік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F45AA" w:rsidRPr="00B17059" w:rsidRDefault="009F45AA" w:rsidP="009F45AA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У таблиці наведено інформацію про підготовлені 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відділом у 2015 році 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докуме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B170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217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2014 роком:</w:t>
      </w: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2835"/>
        <w:gridCol w:w="2693"/>
      </w:tblGrid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2835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2014 рік</w:t>
            </w:r>
          </w:p>
        </w:tc>
        <w:tc>
          <w:tcPr>
            <w:tcW w:w="2693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2015 рік</w:t>
            </w:r>
          </w:p>
        </w:tc>
      </w:tr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(сесії та виконкому)</w:t>
            </w:r>
          </w:p>
        </w:tc>
        <w:tc>
          <w:tcPr>
            <w:tcW w:w="2835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3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міського голови</w:t>
            </w:r>
          </w:p>
        </w:tc>
        <w:tc>
          <w:tcPr>
            <w:tcW w:w="2835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693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</w:tr>
      <w:tr w:rsidR="00C52171" w:rsidRPr="00B17059" w:rsidTr="00C52171">
        <w:tc>
          <w:tcPr>
            <w:tcW w:w="3686" w:type="dxa"/>
          </w:tcPr>
          <w:p w:rsidR="00C52171" w:rsidRPr="00B17059" w:rsidRDefault="00C52171" w:rsidP="00C52171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Листи</w:t>
            </w:r>
          </w:p>
        </w:tc>
        <w:tc>
          <w:tcPr>
            <w:tcW w:w="2835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693" w:type="dxa"/>
          </w:tcPr>
          <w:p w:rsidR="00C52171" w:rsidRPr="00B17059" w:rsidRDefault="00C52171" w:rsidP="00C52171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</w:tr>
    </w:tbl>
    <w:p w:rsidR="00C52171" w:rsidRPr="00B17059" w:rsidRDefault="000C6F98" w:rsidP="00B17059">
      <w:pPr>
        <w:pStyle w:val="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Було сформовано, з подальшим затвердженням на виконкомі, чотири квартальні Плани роботи виконавчих органів міської ради і річний План – на сесії міської ради. По закінченні року зроблено аналіз виконання річного плану роботи.</w:t>
      </w:r>
    </w:p>
    <w:p w:rsidR="00571C4F" w:rsidRPr="00B17059" w:rsidRDefault="00571C4F" w:rsidP="00784E0C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</w:r>
      <w:r w:rsidR="008F445F" w:rsidRPr="00B17059">
        <w:rPr>
          <w:sz w:val="28"/>
          <w:szCs w:val="28"/>
        </w:rPr>
        <w:t>По лінії відділу зі  звернень громадян в</w:t>
      </w:r>
      <w:r w:rsidR="000C6F98" w:rsidRPr="00B17059">
        <w:rPr>
          <w:sz w:val="28"/>
          <w:szCs w:val="28"/>
        </w:rPr>
        <w:t>иконано 16 запитів на публічну інформацію (у</w:t>
      </w:r>
      <w:r w:rsidR="002F51ED" w:rsidRPr="00B17059">
        <w:rPr>
          <w:sz w:val="28"/>
          <w:szCs w:val="28"/>
        </w:rPr>
        <w:t xml:space="preserve"> 2014 р. – </w:t>
      </w:r>
      <w:r w:rsidR="000C6F98" w:rsidRPr="00B17059">
        <w:rPr>
          <w:sz w:val="28"/>
          <w:szCs w:val="28"/>
        </w:rPr>
        <w:t>9</w:t>
      </w:r>
      <w:r w:rsidR="002F51ED" w:rsidRPr="00B17059">
        <w:rPr>
          <w:sz w:val="28"/>
          <w:szCs w:val="28"/>
        </w:rPr>
        <w:t>)</w:t>
      </w:r>
      <w:r w:rsidR="000C6F98" w:rsidRPr="00B17059">
        <w:rPr>
          <w:sz w:val="28"/>
          <w:szCs w:val="28"/>
        </w:rPr>
        <w:t xml:space="preserve">; </w:t>
      </w:r>
      <w:r w:rsidR="008F445F" w:rsidRPr="00B17059">
        <w:rPr>
          <w:sz w:val="28"/>
          <w:szCs w:val="28"/>
        </w:rPr>
        <w:t>підготовлено 63 відповіді на звернення (проти</w:t>
      </w:r>
      <w:r w:rsidR="00B17059">
        <w:rPr>
          <w:sz w:val="28"/>
          <w:szCs w:val="28"/>
        </w:rPr>
        <w:br/>
      </w:r>
      <w:r w:rsidR="008F445F" w:rsidRPr="00B17059">
        <w:rPr>
          <w:sz w:val="28"/>
          <w:szCs w:val="28"/>
        </w:rPr>
        <w:t xml:space="preserve">54-х у 2014 році). При цьому слід зауважити, що в рази збільшився об’єм копій документів, які було необхідно </w:t>
      </w:r>
      <w:r w:rsidR="00B17059">
        <w:rPr>
          <w:sz w:val="28"/>
          <w:szCs w:val="28"/>
        </w:rPr>
        <w:t>виготувати</w:t>
      </w:r>
      <w:r w:rsidR="008F445F" w:rsidRPr="00B17059">
        <w:rPr>
          <w:sz w:val="28"/>
          <w:szCs w:val="28"/>
        </w:rPr>
        <w:t xml:space="preserve"> до відповідей</w:t>
      </w:r>
      <w:r w:rsidR="00875BB7" w:rsidRPr="00B17059">
        <w:rPr>
          <w:sz w:val="28"/>
          <w:szCs w:val="28"/>
        </w:rPr>
        <w:t xml:space="preserve"> на звернення</w:t>
      </w:r>
      <w:r w:rsidR="008F445F" w:rsidRPr="00B17059">
        <w:rPr>
          <w:sz w:val="28"/>
          <w:szCs w:val="28"/>
        </w:rPr>
        <w:t>.</w:t>
      </w:r>
    </w:p>
    <w:p w:rsidR="00CF1AC0" w:rsidRPr="00784E0C" w:rsidRDefault="00571C4F" w:rsidP="00784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Протягом звітного періоду готувались пам’ятні адреси до ювілейних або визначних дат підприємств, установ та організацій міста, особистих ювілеїв заслужених людей міста</w:t>
      </w:r>
      <w:r w:rsidR="00875BB7" w:rsidRPr="00784E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Надсилались вітальні листівки</w:t>
      </w:r>
      <w:r w:rsidR="00875BB7" w:rsidRPr="00784E0C">
        <w:rPr>
          <w:rFonts w:ascii="Times New Roman" w:hAnsi="Times New Roman" w:cs="Times New Roman"/>
          <w:sz w:val="28"/>
          <w:szCs w:val="28"/>
        </w:rPr>
        <w:t xml:space="preserve"> до Нового року та </w:t>
      </w:r>
      <w:r w:rsidR="00784E0C">
        <w:rPr>
          <w:rFonts w:ascii="Times New Roman" w:hAnsi="Times New Roman" w:cs="Times New Roman"/>
          <w:sz w:val="28"/>
          <w:szCs w:val="28"/>
          <w:lang w:val="uk-UA"/>
        </w:rPr>
        <w:t>Міжнародного жіночого Дня 8 Березня керівникам підприємств міста</w:t>
      </w:r>
      <w:r w:rsidR="00875BB7" w:rsidRPr="00784E0C">
        <w:rPr>
          <w:rFonts w:ascii="Times New Roman" w:hAnsi="Times New Roman" w:cs="Times New Roman"/>
          <w:sz w:val="28"/>
          <w:szCs w:val="28"/>
        </w:rPr>
        <w:t>.</w:t>
      </w:r>
    </w:p>
    <w:p w:rsidR="00875BB7" w:rsidRPr="00B17059" w:rsidRDefault="00875BB7" w:rsidP="00CF1AC0">
      <w:pPr>
        <w:pStyle w:val="a4"/>
        <w:rPr>
          <w:sz w:val="28"/>
          <w:szCs w:val="28"/>
        </w:rPr>
      </w:pPr>
      <w:r w:rsidRPr="00B17059">
        <w:rPr>
          <w:sz w:val="28"/>
          <w:szCs w:val="28"/>
        </w:rPr>
        <w:tab/>
        <w:t>Відділ брав участь в організації проведення різноманітних свят державного та місцевого значення.</w:t>
      </w:r>
    </w:p>
    <w:p w:rsidR="00875BB7" w:rsidRPr="00B17059" w:rsidRDefault="00875BB7" w:rsidP="00875BB7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У таблиці наведено інформацію про виготовлені відділом у 2015 році </w:t>
      </w:r>
      <w:r w:rsidR="00660546" w:rsidRPr="00B17059">
        <w:rPr>
          <w:rFonts w:ascii="Times New Roman" w:hAnsi="Times New Roman" w:cs="Times New Roman"/>
          <w:sz w:val="28"/>
          <w:szCs w:val="28"/>
          <w:lang w:val="uk-UA"/>
        </w:rPr>
        <w:t>відзнаки</w:t>
      </w:r>
      <w:r w:rsidR="00C07F7A" w:rsidRPr="00B170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2014 роком:</w:t>
      </w: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2835"/>
        <w:gridCol w:w="2693"/>
      </w:tblGrid>
      <w:tr w:rsidR="00875BB7" w:rsidRPr="00B17059" w:rsidTr="003E52DE">
        <w:tc>
          <w:tcPr>
            <w:tcW w:w="3686" w:type="dxa"/>
          </w:tcPr>
          <w:p w:rsidR="00875BB7" w:rsidRPr="00B17059" w:rsidRDefault="00875BB7" w:rsidP="003E52DE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документу</w:t>
            </w:r>
          </w:p>
        </w:tc>
        <w:tc>
          <w:tcPr>
            <w:tcW w:w="2835" w:type="dxa"/>
          </w:tcPr>
          <w:p w:rsidR="00875BB7" w:rsidRPr="00B17059" w:rsidRDefault="00875BB7" w:rsidP="003E52DE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2014 рік</w:t>
            </w:r>
          </w:p>
        </w:tc>
        <w:tc>
          <w:tcPr>
            <w:tcW w:w="2693" w:type="dxa"/>
          </w:tcPr>
          <w:p w:rsidR="00875BB7" w:rsidRPr="00B17059" w:rsidRDefault="00875BB7" w:rsidP="003E52DE">
            <w:pPr>
              <w:pStyle w:val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2015 рік</w:t>
            </w:r>
          </w:p>
        </w:tc>
      </w:tr>
      <w:tr w:rsidR="00875BB7" w:rsidRPr="00B17059" w:rsidTr="003E52DE">
        <w:tc>
          <w:tcPr>
            <w:tcW w:w="3686" w:type="dxa"/>
          </w:tcPr>
          <w:p w:rsidR="00875BB7" w:rsidRPr="00B17059" w:rsidRDefault="00C07F7A" w:rsidP="003E52DE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Почесні грамоти виконкому міської ради</w:t>
            </w:r>
          </w:p>
        </w:tc>
        <w:tc>
          <w:tcPr>
            <w:tcW w:w="2835" w:type="dxa"/>
          </w:tcPr>
          <w:p w:rsidR="00875BB7" w:rsidRPr="00B17059" w:rsidRDefault="00C07F7A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93" w:type="dxa"/>
          </w:tcPr>
          <w:p w:rsidR="00875BB7" w:rsidRPr="00B17059" w:rsidRDefault="00C07F7A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875BB7" w:rsidRPr="00B17059" w:rsidTr="003E52DE">
        <w:tc>
          <w:tcPr>
            <w:tcW w:w="3686" w:type="dxa"/>
          </w:tcPr>
          <w:p w:rsidR="00875BB7" w:rsidRPr="00B17059" w:rsidRDefault="00C07F7A" w:rsidP="003E52DE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Грамоти виконкому міської ради</w:t>
            </w:r>
          </w:p>
        </w:tc>
        <w:tc>
          <w:tcPr>
            <w:tcW w:w="2835" w:type="dxa"/>
          </w:tcPr>
          <w:p w:rsidR="00875BB7" w:rsidRPr="00B17059" w:rsidRDefault="00C07F7A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2693" w:type="dxa"/>
          </w:tcPr>
          <w:p w:rsidR="00875BB7" w:rsidRPr="00B17059" w:rsidRDefault="00C07F7A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452</w:t>
            </w:r>
          </w:p>
        </w:tc>
      </w:tr>
      <w:tr w:rsidR="00875BB7" w:rsidRPr="00B17059" w:rsidTr="003E52DE">
        <w:tc>
          <w:tcPr>
            <w:tcW w:w="3686" w:type="dxa"/>
          </w:tcPr>
          <w:p w:rsidR="00875BB7" w:rsidRPr="00B17059" w:rsidRDefault="00C07F7A" w:rsidP="003E52DE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Подяки</w:t>
            </w:r>
          </w:p>
        </w:tc>
        <w:tc>
          <w:tcPr>
            <w:tcW w:w="2835" w:type="dxa"/>
          </w:tcPr>
          <w:p w:rsidR="00875BB7" w:rsidRPr="00B17059" w:rsidRDefault="00C07F7A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2693" w:type="dxa"/>
          </w:tcPr>
          <w:p w:rsidR="00875BB7" w:rsidRPr="00B17059" w:rsidRDefault="00C07F7A" w:rsidP="003E52DE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</w:tr>
    </w:tbl>
    <w:p w:rsidR="00875BB7" w:rsidRPr="00B17059" w:rsidRDefault="00875BB7" w:rsidP="00CF1AC0">
      <w:pPr>
        <w:pStyle w:val="a4"/>
        <w:rPr>
          <w:sz w:val="28"/>
          <w:szCs w:val="28"/>
        </w:rPr>
      </w:pPr>
    </w:p>
    <w:p w:rsidR="00E07FC1" w:rsidRPr="00B17059" w:rsidRDefault="00FB009D" w:rsidP="00E07F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B009D" w:rsidRPr="00B17059" w:rsidRDefault="00FB009D" w:rsidP="00FB00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7059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70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4F01" w:rsidRPr="00B17059">
        <w:rPr>
          <w:rFonts w:ascii="Times New Roman" w:hAnsi="Times New Roman" w:cs="Times New Roman"/>
          <w:sz w:val="28"/>
          <w:szCs w:val="28"/>
          <w:lang w:val="uk-UA"/>
        </w:rPr>
        <w:t xml:space="preserve">Т.М. </w:t>
      </w:r>
      <w:proofErr w:type="spellStart"/>
      <w:r w:rsidR="00834F01" w:rsidRPr="00B17059">
        <w:rPr>
          <w:rFonts w:ascii="Times New Roman" w:hAnsi="Times New Roman" w:cs="Times New Roman"/>
          <w:sz w:val="28"/>
          <w:szCs w:val="28"/>
          <w:lang w:val="uk-UA"/>
        </w:rPr>
        <w:t>Винничук</w:t>
      </w:r>
      <w:proofErr w:type="spellEnd"/>
    </w:p>
    <w:sectPr w:rsidR="00FB009D" w:rsidRPr="00B17059" w:rsidSect="00FB00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12B07"/>
    <w:multiLevelType w:val="hybridMultilevel"/>
    <w:tmpl w:val="FDD2107E"/>
    <w:lvl w:ilvl="0" w:tplc="9B12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FC1"/>
    <w:rsid w:val="000C6F98"/>
    <w:rsid w:val="00123C09"/>
    <w:rsid w:val="002062E7"/>
    <w:rsid w:val="00271446"/>
    <w:rsid w:val="002A3319"/>
    <w:rsid w:val="002F51ED"/>
    <w:rsid w:val="00302E78"/>
    <w:rsid w:val="00303777"/>
    <w:rsid w:val="003B373E"/>
    <w:rsid w:val="004B2196"/>
    <w:rsid w:val="00571C4F"/>
    <w:rsid w:val="0064332C"/>
    <w:rsid w:val="006464D7"/>
    <w:rsid w:val="00660546"/>
    <w:rsid w:val="006B1623"/>
    <w:rsid w:val="006C1E85"/>
    <w:rsid w:val="0074015A"/>
    <w:rsid w:val="00762BF2"/>
    <w:rsid w:val="007654FE"/>
    <w:rsid w:val="00784E0C"/>
    <w:rsid w:val="007B1E22"/>
    <w:rsid w:val="00815DC7"/>
    <w:rsid w:val="00822D67"/>
    <w:rsid w:val="00834F01"/>
    <w:rsid w:val="00875BB7"/>
    <w:rsid w:val="00877C13"/>
    <w:rsid w:val="008E658D"/>
    <w:rsid w:val="008F445F"/>
    <w:rsid w:val="009416AB"/>
    <w:rsid w:val="009C42B5"/>
    <w:rsid w:val="009F01E4"/>
    <w:rsid w:val="009F32E8"/>
    <w:rsid w:val="009F45AA"/>
    <w:rsid w:val="00A82028"/>
    <w:rsid w:val="00AC02BC"/>
    <w:rsid w:val="00AC2AC4"/>
    <w:rsid w:val="00B042E7"/>
    <w:rsid w:val="00B17059"/>
    <w:rsid w:val="00BC1717"/>
    <w:rsid w:val="00C07F7A"/>
    <w:rsid w:val="00C47910"/>
    <w:rsid w:val="00C52171"/>
    <w:rsid w:val="00C87F5C"/>
    <w:rsid w:val="00CA5ACB"/>
    <w:rsid w:val="00CF1AC0"/>
    <w:rsid w:val="00D46167"/>
    <w:rsid w:val="00D61588"/>
    <w:rsid w:val="00D832CD"/>
    <w:rsid w:val="00DC70A1"/>
    <w:rsid w:val="00E07FC1"/>
    <w:rsid w:val="00E92BE9"/>
    <w:rsid w:val="00E939BE"/>
    <w:rsid w:val="00FB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07FC1"/>
  </w:style>
  <w:style w:type="character" w:styleId="a3">
    <w:name w:val="Hyperlink"/>
    <w:basedOn w:val="a0"/>
    <w:uiPriority w:val="99"/>
    <w:semiHidden/>
    <w:unhideWhenUsed/>
    <w:rsid w:val="00E07FC1"/>
    <w:rPr>
      <w:color w:val="0000FF"/>
      <w:u w:val="single"/>
    </w:rPr>
  </w:style>
  <w:style w:type="paragraph" w:styleId="a4">
    <w:name w:val="Body Text"/>
    <w:basedOn w:val="a"/>
    <w:link w:val="a5"/>
    <w:rsid w:val="00571C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571C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">
    <w:name w:val="Font Style"/>
    <w:rsid w:val="00571C4F"/>
    <w:rPr>
      <w:color w:val="000000"/>
      <w:sz w:val="20"/>
    </w:rPr>
  </w:style>
  <w:style w:type="paragraph" w:styleId="3">
    <w:name w:val="Body Text 3"/>
    <w:basedOn w:val="a"/>
    <w:link w:val="30"/>
    <w:uiPriority w:val="99"/>
    <w:unhideWhenUsed/>
    <w:rsid w:val="003B37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B373E"/>
    <w:rPr>
      <w:sz w:val="16"/>
      <w:szCs w:val="16"/>
    </w:rPr>
  </w:style>
  <w:style w:type="table" w:styleId="a6">
    <w:name w:val="Table Grid"/>
    <w:basedOn w:val="a1"/>
    <w:uiPriority w:val="59"/>
    <w:rsid w:val="00C52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userMdr1148</cp:lastModifiedBy>
  <cp:revision>16</cp:revision>
  <cp:lastPrinted>2016-04-20T12:08:00Z</cp:lastPrinted>
  <dcterms:created xsi:type="dcterms:W3CDTF">2016-04-20T12:50:00Z</dcterms:created>
  <dcterms:modified xsi:type="dcterms:W3CDTF">2016-04-21T10:45:00Z</dcterms:modified>
</cp:coreProperties>
</file>