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BE" w:rsidRPr="00C8545B" w:rsidRDefault="00ED79BE" w:rsidP="00ED79BE">
      <w:pPr>
        <w:jc w:val="center"/>
        <w:outlineLvl w:val="0"/>
        <w:rPr>
          <w:b/>
          <w:sz w:val="20"/>
          <w:szCs w:val="20"/>
        </w:rPr>
      </w:pPr>
      <w:r w:rsidRPr="00C8545B">
        <w:rPr>
          <w:b/>
          <w:sz w:val="20"/>
          <w:szCs w:val="20"/>
        </w:rPr>
        <w:t xml:space="preserve">Перелік </w:t>
      </w:r>
      <w:r w:rsidR="000640F9">
        <w:rPr>
          <w:b/>
          <w:sz w:val="20"/>
          <w:szCs w:val="20"/>
        </w:rPr>
        <w:t xml:space="preserve">діючих </w:t>
      </w:r>
      <w:r w:rsidRPr="00C8545B">
        <w:rPr>
          <w:b/>
          <w:sz w:val="20"/>
          <w:szCs w:val="20"/>
        </w:rPr>
        <w:t xml:space="preserve">регуляторних актів </w:t>
      </w:r>
      <w:proofErr w:type="spellStart"/>
      <w:r w:rsidRPr="00C8545B">
        <w:rPr>
          <w:b/>
          <w:sz w:val="20"/>
          <w:szCs w:val="20"/>
        </w:rPr>
        <w:t>Сєвєродонецької</w:t>
      </w:r>
      <w:proofErr w:type="spellEnd"/>
      <w:r w:rsidRPr="00C8545B">
        <w:rPr>
          <w:b/>
          <w:sz w:val="20"/>
          <w:szCs w:val="20"/>
        </w:rPr>
        <w:t xml:space="preserve"> міської ради</w:t>
      </w:r>
      <w:r w:rsidR="003F06AE">
        <w:rPr>
          <w:b/>
          <w:sz w:val="20"/>
          <w:szCs w:val="20"/>
        </w:rPr>
        <w:t xml:space="preserve"> станом 10.07.2016р.</w:t>
      </w:r>
    </w:p>
    <w:p w:rsidR="00906791" w:rsidRPr="00C8545B" w:rsidRDefault="000640F9" w:rsidP="00ED79BE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2736"/>
        <w:gridCol w:w="3960"/>
        <w:gridCol w:w="1242"/>
        <w:gridCol w:w="1276"/>
      </w:tblGrid>
      <w:tr w:rsidR="00490AD9" w:rsidRPr="00C8545B" w:rsidTr="004D3E09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D9" w:rsidRPr="00C8545B" w:rsidRDefault="00490AD9" w:rsidP="007B3C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545B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D9" w:rsidRPr="00C8545B" w:rsidRDefault="00490AD9" w:rsidP="007B3C1D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C8545B">
              <w:rPr>
                <w:b/>
                <w:color w:val="000000"/>
                <w:sz w:val="20"/>
                <w:szCs w:val="20"/>
              </w:rPr>
              <w:t>Розробник регуляторного акту</w:t>
            </w:r>
          </w:p>
          <w:p w:rsidR="00490AD9" w:rsidRPr="00C8545B" w:rsidRDefault="00490AD9" w:rsidP="007B3C1D">
            <w:pPr>
              <w:ind w:left="-85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D9" w:rsidRPr="00C8545B" w:rsidRDefault="00490AD9" w:rsidP="007B3C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545B">
              <w:rPr>
                <w:b/>
                <w:color w:val="000000"/>
                <w:sz w:val="20"/>
                <w:szCs w:val="20"/>
              </w:rPr>
              <w:t xml:space="preserve">Назва регуляторних актів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D9" w:rsidRPr="00C8545B" w:rsidRDefault="00490AD9" w:rsidP="007B3C1D">
            <w:pPr>
              <w:jc w:val="center"/>
              <w:rPr>
                <w:b/>
                <w:bCs/>
                <w:sz w:val="20"/>
                <w:szCs w:val="20"/>
              </w:rPr>
            </w:pPr>
            <w:r w:rsidRPr="00C8545B">
              <w:rPr>
                <w:b/>
                <w:bCs/>
                <w:sz w:val="20"/>
                <w:szCs w:val="20"/>
              </w:rPr>
              <w:t>Ціль державного регулювання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D9" w:rsidRPr="00C8545B" w:rsidRDefault="00490AD9" w:rsidP="00F0305E">
            <w:pPr>
              <w:ind w:left="-89" w:right="-129"/>
              <w:jc w:val="center"/>
              <w:rPr>
                <w:b/>
                <w:bCs/>
                <w:sz w:val="20"/>
                <w:szCs w:val="20"/>
              </w:rPr>
            </w:pPr>
            <w:r w:rsidRPr="00C8545B">
              <w:rPr>
                <w:b/>
                <w:bCs/>
                <w:sz w:val="20"/>
                <w:szCs w:val="20"/>
              </w:rPr>
              <w:t>Номер регуляторного 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D9" w:rsidRPr="00C8545B" w:rsidRDefault="00490AD9" w:rsidP="0053592F">
            <w:pPr>
              <w:ind w:left="-127"/>
              <w:jc w:val="center"/>
              <w:rPr>
                <w:b/>
                <w:bCs/>
                <w:sz w:val="20"/>
                <w:szCs w:val="20"/>
              </w:rPr>
            </w:pPr>
            <w:r w:rsidRPr="00C8545B">
              <w:rPr>
                <w:b/>
                <w:bCs/>
                <w:sz w:val="20"/>
                <w:szCs w:val="20"/>
              </w:rPr>
              <w:t>Дата прийняття регуляторного акту</w:t>
            </w:r>
          </w:p>
        </w:tc>
      </w:tr>
      <w:tr w:rsidR="00490AD9" w:rsidRPr="00C8545B" w:rsidTr="004D3E09">
        <w:tblPrEx>
          <w:tblLook w:val="0000"/>
        </w:tblPrEx>
        <w:trPr>
          <w:trHeight w:val="529"/>
        </w:trPr>
        <w:tc>
          <w:tcPr>
            <w:tcW w:w="425" w:type="dxa"/>
            <w:shd w:val="clear" w:color="auto" w:fill="auto"/>
            <w:vAlign w:val="center"/>
          </w:tcPr>
          <w:p w:rsidR="00490AD9" w:rsidRPr="00C8545B" w:rsidRDefault="006734D8" w:rsidP="007B3C1D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AD9" w:rsidRPr="00C8545B" w:rsidRDefault="00490AD9" w:rsidP="00490AD9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Фонд комунального майна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90AD9" w:rsidRPr="00C8545B" w:rsidRDefault="00490AD9" w:rsidP="00490AD9">
            <w:pPr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8-ї сесії міської ради</w:t>
            </w:r>
            <w:r w:rsidRPr="00C8545B">
              <w:rPr>
                <w:sz w:val="20"/>
                <w:szCs w:val="20"/>
              </w:rPr>
              <w:t xml:space="preserve"> «Про методику розрахунку і порядок використання плати за оренду майна, що є власністю територіальної громади міста </w:t>
            </w:r>
            <w:proofErr w:type="spellStart"/>
            <w:r w:rsidRPr="00C8545B">
              <w:rPr>
                <w:sz w:val="20"/>
                <w:szCs w:val="20"/>
              </w:rPr>
              <w:t>Сєвєродонецьк</w:t>
            </w:r>
            <w:proofErr w:type="spellEnd"/>
            <w:r w:rsidRPr="00C8545B">
              <w:rPr>
                <w:sz w:val="20"/>
                <w:szCs w:val="20"/>
              </w:rPr>
              <w:t xml:space="preserve"> Луганської області»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AD9" w:rsidRPr="00C8545B" w:rsidRDefault="00490AD9" w:rsidP="00340317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Приведення розміру орендної плати за нерухоме майно, що є власністю територіальної громади </w:t>
            </w:r>
          </w:p>
          <w:p w:rsidR="00490AD9" w:rsidRPr="00C8545B" w:rsidRDefault="00490AD9" w:rsidP="00340317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м. </w:t>
            </w:r>
            <w:proofErr w:type="spellStart"/>
            <w:r w:rsidRPr="00C8545B">
              <w:rPr>
                <w:sz w:val="20"/>
                <w:szCs w:val="20"/>
              </w:rPr>
              <w:t>Сєвєродонецьк</w:t>
            </w:r>
            <w:proofErr w:type="spellEnd"/>
            <w:r w:rsidRPr="00C8545B">
              <w:rPr>
                <w:sz w:val="20"/>
                <w:szCs w:val="20"/>
              </w:rPr>
              <w:t>, у відповідність до розміру дійсної ринкової орендної плати за нерухоме майно</w:t>
            </w:r>
            <w:r w:rsidR="003465D2" w:rsidRPr="00C8545B"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Align w:val="center"/>
          </w:tcPr>
          <w:p w:rsidR="00490AD9" w:rsidRPr="00C8545B" w:rsidRDefault="00490AD9" w:rsidP="00490AD9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№348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AD9" w:rsidRPr="00C8545B" w:rsidRDefault="00490AD9" w:rsidP="00490AD9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14.09.2006р.</w:t>
            </w:r>
          </w:p>
        </w:tc>
      </w:tr>
      <w:tr w:rsidR="00930D61" w:rsidRPr="00C8545B" w:rsidTr="004D3E09">
        <w:tblPrEx>
          <w:tblLook w:val="0000"/>
        </w:tblPrEx>
        <w:trPr>
          <w:trHeight w:val="338"/>
        </w:trPr>
        <w:tc>
          <w:tcPr>
            <w:tcW w:w="425" w:type="dxa"/>
            <w:shd w:val="clear" w:color="auto" w:fill="auto"/>
            <w:noWrap/>
            <w:vAlign w:val="center"/>
          </w:tcPr>
          <w:p w:rsidR="00930D61" w:rsidRPr="00C8545B" w:rsidRDefault="005918B2" w:rsidP="007B3C1D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0D61" w:rsidRPr="00C8545B" w:rsidRDefault="00930D61" w:rsidP="00490AD9">
            <w:pPr>
              <w:ind w:left="-64" w:right="-80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Відділ містобудування та архітектури 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30D61" w:rsidRPr="00C8545B" w:rsidRDefault="00930D61" w:rsidP="00490AD9">
            <w:pPr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77-ї сесії міської ради</w:t>
            </w:r>
            <w:r w:rsidRPr="00C8545B">
              <w:rPr>
                <w:sz w:val="20"/>
                <w:szCs w:val="20"/>
              </w:rPr>
      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</w:t>
            </w:r>
            <w:proofErr w:type="spellStart"/>
            <w:r w:rsidRPr="00C8545B">
              <w:rPr>
                <w:sz w:val="20"/>
                <w:szCs w:val="20"/>
              </w:rPr>
              <w:t>Сєвєродонецької</w:t>
            </w:r>
            <w:proofErr w:type="spellEnd"/>
            <w:r w:rsidRPr="00C8545B">
              <w:rPr>
                <w:sz w:val="20"/>
                <w:szCs w:val="20"/>
              </w:rPr>
              <w:t xml:space="preserve"> міської ради»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30D61" w:rsidRPr="00C8545B" w:rsidRDefault="00930D61" w:rsidP="00340317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Впорядкування процедури надання дозволу на переведення жилих приміщень в нежилі та їх реконструкції під розміщення об’єктів невиробничої сфери з метою забезпечення конституційних прав громадян на володіння, користування та розпорядження приватною власністю для здійснення господарчої та іншого роду діяльності, яка не заборонена законодавством, а також розвиток підприємництва</w:t>
            </w:r>
            <w:r w:rsidR="003465D2" w:rsidRPr="00C8545B"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Align w:val="center"/>
          </w:tcPr>
          <w:p w:rsidR="00930D61" w:rsidRPr="00C8545B" w:rsidRDefault="00930D61" w:rsidP="00490AD9">
            <w:pPr>
              <w:jc w:val="center"/>
              <w:rPr>
                <w:color w:val="000000"/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№3329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0D61" w:rsidRPr="00C8545B" w:rsidRDefault="00930D61" w:rsidP="00490AD9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22.07.2009р.</w:t>
            </w:r>
          </w:p>
        </w:tc>
      </w:tr>
      <w:tr w:rsidR="00930D61" w:rsidRPr="00C8545B" w:rsidTr="004D3E09">
        <w:tblPrEx>
          <w:tblLook w:val="0000"/>
        </w:tblPrEx>
        <w:trPr>
          <w:trHeight w:val="1200"/>
        </w:trPr>
        <w:tc>
          <w:tcPr>
            <w:tcW w:w="425" w:type="dxa"/>
            <w:shd w:val="clear" w:color="auto" w:fill="auto"/>
            <w:vAlign w:val="center"/>
          </w:tcPr>
          <w:p w:rsidR="00930D61" w:rsidRPr="00C8545B" w:rsidRDefault="007F725A" w:rsidP="007B3C1D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0D61" w:rsidRPr="00C8545B" w:rsidRDefault="00930D61" w:rsidP="00841D8B">
            <w:pPr>
              <w:ind w:left="-94"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930D61" w:rsidRPr="00C8545B" w:rsidRDefault="00930D61" w:rsidP="00490AD9">
            <w:pPr>
              <w:ind w:right="2"/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11-ї сесії міської ради</w:t>
            </w:r>
            <w:r w:rsidRPr="00C8545B">
              <w:rPr>
                <w:sz w:val="20"/>
                <w:szCs w:val="20"/>
              </w:rPr>
              <w:t xml:space="preserve"> «Про встановлення ставки збору за місця для паркування транспортних засобів»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30D61" w:rsidRPr="00C8545B" w:rsidRDefault="00340317" w:rsidP="00340317">
            <w:pPr>
              <w:pStyle w:val="20"/>
              <w:spacing w:line="240" w:lineRule="auto"/>
              <w:rPr>
                <w:sz w:val="20"/>
                <w:szCs w:val="20"/>
                <w:lang w:val="uk-UA"/>
              </w:rPr>
            </w:pPr>
            <w:r w:rsidRPr="00C8545B">
              <w:rPr>
                <w:sz w:val="20"/>
                <w:szCs w:val="20"/>
                <w:lang w:val="uk-UA"/>
              </w:rPr>
              <w:t xml:space="preserve">Визначення механізму та порядку сплати збору за місця для паркування транспортних засобів, збільшення надходжень до  бюджету територіальної громади міста </w:t>
            </w:r>
            <w:proofErr w:type="spellStart"/>
            <w:r w:rsidRPr="00C8545B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="003465D2" w:rsidRPr="00C8545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42" w:type="dxa"/>
            <w:vAlign w:val="center"/>
          </w:tcPr>
          <w:p w:rsidR="00930D61" w:rsidRPr="00C8545B" w:rsidRDefault="00930D61" w:rsidP="00490AD9">
            <w:pPr>
              <w:jc w:val="center"/>
              <w:rPr>
                <w:color w:val="000000"/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№320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D61" w:rsidRPr="00C8545B" w:rsidRDefault="00930D61" w:rsidP="00490AD9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24.02.2011р.</w:t>
            </w:r>
          </w:p>
        </w:tc>
      </w:tr>
      <w:tr w:rsidR="00390F34" w:rsidRPr="00C8545B" w:rsidTr="004D3E09">
        <w:tblPrEx>
          <w:tblLook w:val="0000"/>
        </w:tblPrEx>
        <w:trPr>
          <w:trHeight w:val="1800"/>
        </w:trPr>
        <w:tc>
          <w:tcPr>
            <w:tcW w:w="425" w:type="dxa"/>
            <w:shd w:val="clear" w:color="auto" w:fill="auto"/>
            <w:vAlign w:val="center"/>
          </w:tcPr>
          <w:p w:rsidR="00390F34" w:rsidRPr="00C8545B" w:rsidRDefault="000248E4" w:rsidP="007B3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F34" w:rsidRPr="00C8545B" w:rsidRDefault="00944589" w:rsidP="00490AD9">
            <w:pPr>
              <w:ind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Відділ цивільного захисту, екологічної безпеки та охорони праці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390F34" w:rsidRPr="00C8545B" w:rsidRDefault="00390F34" w:rsidP="00490AD9">
            <w:pPr>
              <w:ind w:right="-108"/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12-ї сесії</w:t>
            </w:r>
            <w:r w:rsidRPr="00C8545B">
              <w:rPr>
                <w:sz w:val="20"/>
                <w:szCs w:val="20"/>
              </w:rPr>
              <w:t xml:space="preserve"> </w:t>
            </w:r>
            <w:r w:rsidRPr="00C8545B">
              <w:rPr>
                <w:color w:val="000000"/>
                <w:sz w:val="20"/>
                <w:szCs w:val="20"/>
              </w:rPr>
              <w:t xml:space="preserve">міської ради </w:t>
            </w:r>
            <w:r w:rsidRPr="00C8545B">
              <w:rPr>
                <w:sz w:val="20"/>
                <w:szCs w:val="20"/>
              </w:rPr>
              <w:t>«</w:t>
            </w:r>
            <w:r w:rsidRPr="00C8545B">
              <w:rPr>
                <w:snapToGrid w:val="0"/>
                <w:sz w:val="20"/>
                <w:szCs w:val="20"/>
              </w:rPr>
              <w:t>Про затвердження Правил приймання стічних вод у систему каналізації</w:t>
            </w:r>
            <w:r w:rsidRPr="00C8545B">
              <w:rPr>
                <w:sz w:val="20"/>
                <w:szCs w:val="20"/>
              </w:rPr>
              <w:t xml:space="preserve"> </w:t>
            </w:r>
            <w:proofErr w:type="spellStart"/>
            <w:r w:rsidRPr="00C8545B">
              <w:rPr>
                <w:sz w:val="20"/>
                <w:szCs w:val="20"/>
              </w:rPr>
              <w:t>м.Сєвєродонецька</w:t>
            </w:r>
            <w:proofErr w:type="spellEnd"/>
            <w:r w:rsidRPr="00C8545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13360E" w:rsidRPr="00C8545B" w:rsidRDefault="0013360E" w:rsidP="0013360E">
            <w:pPr>
              <w:snapToGrid w:val="0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Якісне надання </w:t>
            </w:r>
            <w:r w:rsidR="00F122D7" w:rsidRPr="00C8545B">
              <w:rPr>
                <w:sz w:val="20"/>
                <w:szCs w:val="20"/>
              </w:rPr>
              <w:t>послуг з приймання  стічних вод</w:t>
            </w:r>
            <w:r w:rsidRPr="00C8545B">
              <w:rPr>
                <w:sz w:val="20"/>
                <w:szCs w:val="20"/>
              </w:rPr>
              <w:t>.</w:t>
            </w:r>
          </w:p>
          <w:p w:rsidR="00390F34" w:rsidRPr="00C8545B" w:rsidRDefault="0013360E" w:rsidP="00340317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Уникнення забруднення водних об’єктів, забезпечення прозорості контролю за дотриманням </w:t>
            </w:r>
            <w:proofErr w:type="spellStart"/>
            <w:r w:rsidRPr="00C8545B">
              <w:rPr>
                <w:sz w:val="20"/>
                <w:szCs w:val="20"/>
              </w:rPr>
              <w:t>гранично-допустимих</w:t>
            </w:r>
            <w:proofErr w:type="spellEnd"/>
            <w:r w:rsidRPr="00C8545B">
              <w:rPr>
                <w:sz w:val="20"/>
                <w:szCs w:val="20"/>
              </w:rPr>
              <w:t xml:space="preserve"> концентрацій (ГДК) забруднюючих речовин у стічних водах підприємств та організацій</w:t>
            </w:r>
            <w:r w:rsidR="00F122D7" w:rsidRPr="00C8545B">
              <w:rPr>
                <w:sz w:val="20"/>
                <w:szCs w:val="20"/>
              </w:rPr>
              <w:t>. В</w:t>
            </w:r>
            <w:r w:rsidRPr="00C8545B">
              <w:rPr>
                <w:sz w:val="20"/>
                <w:szCs w:val="20"/>
              </w:rPr>
              <w:t>становлення юридичної відповідальності за порушення ГДК.</w:t>
            </w:r>
          </w:p>
        </w:tc>
        <w:tc>
          <w:tcPr>
            <w:tcW w:w="1242" w:type="dxa"/>
            <w:vAlign w:val="center"/>
          </w:tcPr>
          <w:p w:rsidR="00390F34" w:rsidRPr="00C8545B" w:rsidRDefault="00CB6677" w:rsidP="00490AD9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№377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F34" w:rsidRPr="00C8545B" w:rsidRDefault="00CB6677" w:rsidP="00490AD9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29.03.2011р.</w:t>
            </w:r>
          </w:p>
        </w:tc>
      </w:tr>
      <w:tr w:rsidR="005A713E" w:rsidRPr="00C8545B" w:rsidTr="004D3E09">
        <w:tblPrEx>
          <w:tblLook w:val="0000"/>
        </w:tblPrEx>
        <w:trPr>
          <w:trHeight w:val="1800"/>
        </w:trPr>
        <w:tc>
          <w:tcPr>
            <w:tcW w:w="425" w:type="dxa"/>
            <w:shd w:val="clear" w:color="auto" w:fill="auto"/>
            <w:vAlign w:val="center"/>
          </w:tcPr>
          <w:p w:rsidR="005A713E" w:rsidRPr="00C8545B" w:rsidRDefault="000248E4" w:rsidP="005A7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713E" w:rsidRPr="00C8545B" w:rsidRDefault="005A713E" w:rsidP="00B6713F">
            <w:pPr>
              <w:ind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Відділ торгівлі та </w:t>
            </w:r>
            <w:r w:rsidR="00B6713F">
              <w:rPr>
                <w:sz w:val="20"/>
                <w:szCs w:val="20"/>
              </w:rPr>
              <w:t xml:space="preserve">захисту прав споживачів 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A713E" w:rsidRPr="00C8545B" w:rsidRDefault="00ED3370" w:rsidP="002A6DEF">
            <w:pPr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15-ї (чергової) сесії</w:t>
            </w:r>
            <w:r w:rsidRPr="00C8545B">
              <w:rPr>
                <w:sz w:val="20"/>
                <w:szCs w:val="20"/>
              </w:rPr>
              <w:t xml:space="preserve"> </w:t>
            </w:r>
            <w:r w:rsidRPr="00C8545B">
              <w:rPr>
                <w:color w:val="000000"/>
                <w:sz w:val="20"/>
                <w:szCs w:val="20"/>
              </w:rPr>
              <w:t xml:space="preserve">міської ради </w:t>
            </w:r>
            <w:r w:rsidR="005A713E" w:rsidRPr="00C8545B">
              <w:rPr>
                <w:sz w:val="20"/>
                <w:szCs w:val="20"/>
              </w:rPr>
              <w:t xml:space="preserve">«Про затвердження Правил торгівлі на ринках міста </w:t>
            </w:r>
            <w:proofErr w:type="spellStart"/>
            <w:r w:rsidR="004A0B5D" w:rsidRPr="00C8545B">
              <w:rPr>
                <w:sz w:val="20"/>
                <w:szCs w:val="20"/>
              </w:rPr>
              <w:t>С</w:t>
            </w:r>
            <w:r w:rsidR="005A713E" w:rsidRPr="00C8545B">
              <w:rPr>
                <w:sz w:val="20"/>
                <w:szCs w:val="20"/>
              </w:rPr>
              <w:t>євєродонецька</w:t>
            </w:r>
            <w:proofErr w:type="spellEnd"/>
            <w:r w:rsidR="005A713E" w:rsidRPr="00C8545B">
              <w:rPr>
                <w:sz w:val="20"/>
                <w:szCs w:val="20"/>
              </w:rPr>
              <w:t>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A713E" w:rsidRPr="00C8545B" w:rsidRDefault="005A713E" w:rsidP="005A713E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Забезпечення виконання вимог Податкового кодексу України та удосконалення роботи ринків. Проведення Правил у відповідність до Податкового кодексу України та </w:t>
            </w:r>
            <w:r w:rsidR="002A6DEF" w:rsidRPr="00C8545B">
              <w:rPr>
                <w:sz w:val="20"/>
                <w:szCs w:val="20"/>
              </w:rPr>
              <w:t xml:space="preserve">доведення </w:t>
            </w:r>
            <w:r w:rsidRPr="00C8545B">
              <w:rPr>
                <w:sz w:val="20"/>
                <w:szCs w:val="20"/>
              </w:rPr>
              <w:t xml:space="preserve">їх до суб’єктів господарювання, що здійснюють та організовують торгівлю </w:t>
            </w:r>
            <w:r w:rsidR="002A6DEF" w:rsidRPr="00C8545B">
              <w:rPr>
                <w:sz w:val="20"/>
                <w:szCs w:val="20"/>
              </w:rPr>
              <w:t>на ринках</w:t>
            </w:r>
            <w:r w:rsidR="003465D2" w:rsidRPr="00C8545B"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Align w:val="center"/>
          </w:tcPr>
          <w:p w:rsidR="005A713E" w:rsidRPr="00C8545B" w:rsidRDefault="005A713E" w:rsidP="002A6DEF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№532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13E" w:rsidRPr="00C8545B" w:rsidRDefault="005A713E" w:rsidP="002A6DEF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26.05.2011р.</w:t>
            </w:r>
          </w:p>
        </w:tc>
      </w:tr>
      <w:tr w:rsidR="00BD6A7A" w:rsidRPr="00C8545B" w:rsidTr="004D3E09">
        <w:tblPrEx>
          <w:tblLook w:val="0000"/>
        </w:tblPrEx>
        <w:trPr>
          <w:trHeight w:val="1491"/>
        </w:trPr>
        <w:tc>
          <w:tcPr>
            <w:tcW w:w="425" w:type="dxa"/>
            <w:shd w:val="clear" w:color="auto" w:fill="auto"/>
            <w:vAlign w:val="center"/>
          </w:tcPr>
          <w:p w:rsidR="00BD6A7A" w:rsidRPr="004D3E09" w:rsidRDefault="00E062C9" w:rsidP="005A713E">
            <w:pPr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6A7A" w:rsidRPr="004D3E09" w:rsidRDefault="00BD6A7A" w:rsidP="005A713E">
            <w:pPr>
              <w:ind w:right="-108"/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Фінансове управління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BD6A7A" w:rsidRPr="004D3E09" w:rsidRDefault="003E6E6B" w:rsidP="00BD6A7A">
            <w:pPr>
              <w:rPr>
                <w:sz w:val="20"/>
                <w:szCs w:val="20"/>
              </w:rPr>
            </w:pPr>
            <w:r w:rsidRPr="004D3E09">
              <w:rPr>
                <w:color w:val="000000"/>
                <w:sz w:val="20"/>
                <w:szCs w:val="20"/>
              </w:rPr>
              <w:t>Рішення 17-ї (позачергової) сесії</w:t>
            </w:r>
            <w:r w:rsidRPr="004D3E09">
              <w:rPr>
                <w:sz w:val="20"/>
                <w:szCs w:val="20"/>
              </w:rPr>
              <w:t xml:space="preserve"> </w:t>
            </w:r>
            <w:r w:rsidRPr="004D3E09">
              <w:rPr>
                <w:color w:val="000000"/>
                <w:sz w:val="20"/>
                <w:szCs w:val="20"/>
              </w:rPr>
              <w:t>міської ради</w:t>
            </w:r>
            <w:r w:rsidRPr="004D3E09">
              <w:rPr>
                <w:sz w:val="20"/>
                <w:szCs w:val="20"/>
              </w:rPr>
              <w:t xml:space="preserve"> </w:t>
            </w:r>
            <w:proofErr w:type="spellStart"/>
            <w:r w:rsidR="00BD6A7A" w:rsidRPr="004D3E09">
              <w:rPr>
                <w:sz w:val="20"/>
                <w:szCs w:val="20"/>
              </w:rPr>
              <w:t>„Про</w:t>
            </w:r>
            <w:proofErr w:type="spellEnd"/>
            <w:r w:rsidR="00BD6A7A" w:rsidRPr="004D3E09">
              <w:rPr>
                <w:sz w:val="20"/>
                <w:szCs w:val="20"/>
              </w:rPr>
              <w:t xml:space="preserve"> затвердження  Положень "Про податок</w:t>
            </w:r>
            <w:r w:rsidR="00C8545B" w:rsidRPr="004D3E09">
              <w:rPr>
                <w:sz w:val="20"/>
                <w:szCs w:val="20"/>
              </w:rPr>
              <w:t xml:space="preserve"> </w:t>
            </w:r>
            <w:r w:rsidR="00BD6A7A" w:rsidRPr="004D3E09">
              <w:rPr>
                <w:sz w:val="20"/>
                <w:szCs w:val="20"/>
              </w:rPr>
              <w:t xml:space="preserve"> на нерухоме майно, відмінне від земельної</w:t>
            </w:r>
          </w:p>
          <w:p w:rsidR="004D3E09" w:rsidRPr="004D3E09" w:rsidRDefault="00BD6A7A" w:rsidP="00BD6A7A">
            <w:pPr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 xml:space="preserve"> ділянки" та "Про </w:t>
            </w:r>
          </w:p>
          <w:p w:rsidR="004D3E09" w:rsidRPr="004D3E09" w:rsidRDefault="00BD6A7A" w:rsidP="00BD6A7A">
            <w:pPr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 xml:space="preserve">туристичний </w:t>
            </w:r>
            <w:proofErr w:type="spellStart"/>
            <w:r w:rsidRPr="004D3E09">
              <w:rPr>
                <w:sz w:val="20"/>
                <w:szCs w:val="20"/>
              </w:rPr>
              <w:t>збір”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BD6A7A" w:rsidRPr="004D3E09" w:rsidRDefault="00F730CE" w:rsidP="005A713E">
            <w:pPr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Виконання вимог Податкового кодексу України</w:t>
            </w:r>
            <w:r w:rsidR="0053592F" w:rsidRPr="004D3E09"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Align w:val="center"/>
          </w:tcPr>
          <w:p w:rsidR="00BD6A7A" w:rsidRPr="004D3E09" w:rsidRDefault="00BD6A7A" w:rsidP="00ED3370">
            <w:pPr>
              <w:jc w:val="center"/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№659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A7A" w:rsidRPr="00C8545B" w:rsidRDefault="00BD6A7A" w:rsidP="00ED3370">
            <w:pPr>
              <w:jc w:val="center"/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14.07.2011р.</w:t>
            </w:r>
          </w:p>
        </w:tc>
      </w:tr>
      <w:tr w:rsidR="004D3E09" w:rsidRPr="00C8545B" w:rsidTr="004D3E09">
        <w:tblPrEx>
          <w:tblLook w:val="0000"/>
        </w:tblPrEx>
        <w:trPr>
          <w:trHeight w:val="968"/>
        </w:trPr>
        <w:tc>
          <w:tcPr>
            <w:tcW w:w="425" w:type="dxa"/>
            <w:shd w:val="clear" w:color="auto" w:fill="auto"/>
            <w:vAlign w:val="center"/>
          </w:tcPr>
          <w:p w:rsidR="004D3E09" w:rsidRPr="004D3E09" w:rsidRDefault="004D3E09" w:rsidP="00E16009">
            <w:pPr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4D3E09" w:rsidRDefault="004D3E09" w:rsidP="00E16009">
            <w:pPr>
              <w:ind w:right="-108"/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Фінансове управління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4D3E09" w:rsidRDefault="004D3E09" w:rsidP="00E16009">
            <w:pPr>
              <w:rPr>
                <w:color w:val="000000"/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Рішення 24-ї сесії міської ради «Про внесення змін до р</w:t>
            </w:r>
            <w:r w:rsidRPr="004D3E09">
              <w:rPr>
                <w:color w:val="000000"/>
                <w:sz w:val="20"/>
                <w:szCs w:val="20"/>
              </w:rPr>
              <w:t>ішення 17-ї (позачергової) сесії</w:t>
            </w:r>
            <w:r w:rsidRPr="004D3E09">
              <w:rPr>
                <w:sz w:val="20"/>
                <w:szCs w:val="20"/>
              </w:rPr>
              <w:t xml:space="preserve"> </w:t>
            </w:r>
            <w:r w:rsidRPr="004D3E09">
              <w:rPr>
                <w:color w:val="000000"/>
                <w:sz w:val="20"/>
                <w:szCs w:val="20"/>
              </w:rPr>
              <w:t>міської ради</w:t>
            </w:r>
            <w:r w:rsidRPr="004D3E09">
              <w:rPr>
                <w:sz w:val="20"/>
                <w:szCs w:val="20"/>
              </w:rPr>
              <w:t xml:space="preserve"> від 14.07.2011р. №659 </w:t>
            </w:r>
            <w:proofErr w:type="spellStart"/>
            <w:r w:rsidRPr="004D3E09">
              <w:rPr>
                <w:sz w:val="20"/>
                <w:szCs w:val="20"/>
              </w:rPr>
              <w:t>„Про</w:t>
            </w:r>
            <w:proofErr w:type="spellEnd"/>
            <w:r w:rsidRPr="004D3E09">
              <w:rPr>
                <w:sz w:val="20"/>
                <w:szCs w:val="20"/>
              </w:rPr>
              <w:t xml:space="preserve"> затвердження Положень </w:t>
            </w:r>
            <w:r w:rsidRPr="004D3E09">
              <w:rPr>
                <w:sz w:val="20"/>
                <w:szCs w:val="20"/>
              </w:rPr>
              <w:lastRenderedPageBreak/>
              <w:t xml:space="preserve">"Про податок на нерухоме майно, відмінне від земельної  ділянки" та "Про туристичний </w:t>
            </w:r>
            <w:proofErr w:type="spellStart"/>
            <w:r w:rsidRPr="004D3E09">
              <w:rPr>
                <w:sz w:val="20"/>
                <w:szCs w:val="20"/>
              </w:rPr>
              <w:t>збір”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4D3E09" w:rsidRDefault="004D3E09" w:rsidP="00E16009">
            <w:pPr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lastRenderedPageBreak/>
              <w:t>Приведення затверджених Положень до змін, які внесені до Податкового кодексу Законом України від  7 липня 2011 року № 3609-VI.</w:t>
            </w:r>
          </w:p>
        </w:tc>
        <w:tc>
          <w:tcPr>
            <w:tcW w:w="1242" w:type="dxa"/>
            <w:vAlign w:val="center"/>
          </w:tcPr>
          <w:p w:rsidR="004D3E09" w:rsidRPr="004D3E09" w:rsidRDefault="004D3E09" w:rsidP="00E16009">
            <w:pPr>
              <w:jc w:val="center"/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.№952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4D3E09" w:rsidRDefault="004D3E09" w:rsidP="00E16009">
            <w:pPr>
              <w:jc w:val="center"/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27.10.2011р.</w:t>
            </w:r>
          </w:p>
        </w:tc>
      </w:tr>
      <w:tr w:rsidR="004D3E09" w:rsidRPr="00C8545B" w:rsidTr="004D3E09">
        <w:tblPrEx>
          <w:tblLook w:val="0000"/>
        </w:tblPrEx>
        <w:trPr>
          <w:trHeight w:val="1491"/>
        </w:trPr>
        <w:tc>
          <w:tcPr>
            <w:tcW w:w="425" w:type="dxa"/>
            <w:shd w:val="clear" w:color="auto" w:fill="auto"/>
            <w:vAlign w:val="center"/>
          </w:tcPr>
          <w:p w:rsidR="004D3E09" w:rsidRPr="004D3E09" w:rsidRDefault="004D3E09" w:rsidP="005A713E">
            <w:pPr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A92A74" w:rsidRDefault="004D3E09" w:rsidP="005A713E">
            <w:pPr>
              <w:ind w:right="-108"/>
              <w:rPr>
                <w:sz w:val="20"/>
                <w:szCs w:val="20"/>
                <w:highlight w:val="yellow"/>
              </w:rPr>
            </w:pPr>
            <w:r w:rsidRPr="00C8545B">
              <w:rPr>
                <w:sz w:val="20"/>
                <w:szCs w:val="20"/>
              </w:rPr>
              <w:t>Фінансове управління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C8545B" w:rsidRDefault="004D3E09" w:rsidP="004D3E09">
            <w:pPr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48-ї сесії міськради «</w:t>
            </w:r>
            <w:r w:rsidRPr="00C8545B">
              <w:rPr>
                <w:sz w:val="20"/>
                <w:szCs w:val="20"/>
              </w:rPr>
              <w:t>Про внесення змін до рішення  24-ї сесії</w:t>
            </w:r>
          </w:p>
          <w:p w:rsidR="004D3E09" w:rsidRPr="00C8545B" w:rsidRDefault="004D3E09" w:rsidP="004D3E09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міської ради від 27.10.2011р. № 952</w:t>
            </w:r>
          </w:p>
          <w:p w:rsidR="004D3E09" w:rsidRPr="00C8545B" w:rsidRDefault="004D3E09" w:rsidP="004D3E09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«Про внесення змін до Положень</w:t>
            </w:r>
          </w:p>
          <w:p w:rsidR="004D3E09" w:rsidRPr="00C8545B" w:rsidRDefault="004D3E09" w:rsidP="004D3E09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«Про податок на нерухоме майно» та </w:t>
            </w:r>
          </w:p>
          <w:p w:rsidR="004D3E09" w:rsidRPr="00C8545B" w:rsidRDefault="004D3E09" w:rsidP="004D3E09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«Про туристичний збір», затверджених </w:t>
            </w:r>
          </w:p>
          <w:p w:rsidR="004D3E09" w:rsidRPr="00C8545B" w:rsidRDefault="004D3E09" w:rsidP="004D3E09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рішенням 17-ої сесії міської ради від </w:t>
            </w:r>
          </w:p>
          <w:p w:rsidR="004D3E09" w:rsidRPr="00A92A74" w:rsidRDefault="004D3E09" w:rsidP="004D3E0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C8545B">
              <w:rPr>
                <w:sz w:val="20"/>
                <w:szCs w:val="20"/>
              </w:rPr>
              <w:t>14.07.2011р. № 659»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A92A74" w:rsidRDefault="004D3E09" w:rsidP="005A713E">
            <w:pPr>
              <w:rPr>
                <w:sz w:val="20"/>
                <w:szCs w:val="20"/>
                <w:highlight w:val="yellow"/>
              </w:rPr>
            </w:pPr>
            <w:r w:rsidRPr="00C8545B">
              <w:rPr>
                <w:sz w:val="20"/>
                <w:szCs w:val="20"/>
              </w:rPr>
              <w:t>Проект регуляторного акту спрямований на приведення затверджених Положень до змін, які внесені до Податкового кодексу Законом України від 24 травня 2012 року  N 4834-VI.</w:t>
            </w:r>
          </w:p>
        </w:tc>
        <w:tc>
          <w:tcPr>
            <w:tcW w:w="1242" w:type="dxa"/>
            <w:vAlign w:val="center"/>
          </w:tcPr>
          <w:p w:rsidR="004D3E09" w:rsidRPr="00A92A74" w:rsidRDefault="004D3E09" w:rsidP="00ED3370">
            <w:pPr>
              <w:jc w:val="center"/>
              <w:rPr>
                <w:sz w:val="20"/>
                <w:szCs w:val="20"/>
                <w:highlight w:val="yellow"/>
              </w:rPr>
            </w:pPr>
            <w:r w:rsidRPr="00C8545B">
              <w:rPr>
                <w:color w:val="000000"/>
                <w:sz w:val="20"/>
                <w:szCs w:val="20"/>
              </w:rPr>
              <w:t>№2090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A92A74" w:rsidRDefault="004D3E09" w:rsidP="00ED3370">
            <w:pPr>
              <w:jc w:val="center"/>
              <w:rPr>
                <w:sz w:val="20"/>
                <w:szCs w:val="20"/>
                <w:highlight w:val="yellow"/>
              </w:rPr>
            </w:pPr>
            <w:r w:rsidRPr="00C8545B">
              <w:rPr>
                <w:sz w:val="20"/>
                <w:szCs w:val="20"/>
              </w:rPr>
              <w:t>25.10.2012р.</w:t>
            </w:r>
          </w:p>
        </w:tc>
      </w:tr>
      <w:tr w:rsidR="004D3E09" w:rsidRPr="00C8545B" w:rsidTr="004D3E09">
        <w:tblPrEx>
          <w:tblLook w:val="0000"/>
        </w:tblPrEx>
        <w:trPr>
          <w:trHeight w:val="1486"/>
        </w:trPr>
        <w:tc>
          <w:tcPr>
            <w:tcW w:w="425" w:type="dxa"/>
            <w:shd w:val="clear" w:color="auto" w:fill="auto"/>
            <w:vAlign w:val="center"/>
          </w:tcPr>
          <w:p w:rsidR="004D3E09" w:rsidRPr="00C8545B" w:rsidRDefault="004D3E09" w:rsidP="005A7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C8545B" w:rsidRDefault="004D3E09" w:rsidP="00CA524D">
            <w:pPr>
              <w:ind w:left="-80"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C8545B" w:rsidRDefault="004D3E09" w:rsidP="00841D8B">
            <w:pPr>
              <w:ind w:right="-76"/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24-ї сесії міської ради</w:t>
            </w:r>
            <w:r w:rsidRPr="00C8545B">
              <w:rPr>
                <w:sz w:val="20"/>
                <w:szCs w:val="20"/>
              </w:rPr>
              <w:t xml:space="preserve"> «Про затвердження Порядку розміщення зовнішньої реклами у місті </w:t>
            </w:r>
            <w:proofErr w:type="spellStart"/>
            <w:r w:rsidRPr="00C8545B">
              <w:rPr>
                <w:sz w:val="20"/>
                <w:szCs w:val="20"/>
              </w:rPr>
              <w:t>Сєвєродонецьку</w:t>
            </w:r>
            <w:proofErr w:type="spellEnd"/>
            <w:r w:rsidRPr="00C8545B">
              <w:rPr>
                <w:sz w:val="20"/>
                <w:szCs w:val="20"/>
              </w:rPr>
              <w:t>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C8545B" w:rsidRDefault="004D3E09" w:rsidP="00554CCF">
            <w:pPr>
              <w:spacing w:line="225" w:lineRule="atLeast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Регулювання відносин, які виникають у зв’язку з розміщенням зовнішньої реклами. Визначення порядку надання дозволів на розміщення реклами.</w:t>
            </w:r>
          </w:p>
        </w:tc>
        <w:tc>
          <w:tcPr>
            <w:tcW w:w="1242" w:type="dxa"/>
            <w:vAlign w:val="center"/>
          </w:tcPr>
          <w:p w:rsidR="004D3E09" w:rsidRPr="00C8545B" w:rsidRDefault="004D3E09" w:rsidP="002E1790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№1037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C8545B" w:rsidRDefault="004D3E09" w:rsidP="002E1790">
            <w:pPr>
              <w:tabs>
                <w:tab w:val="num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27.10.2011р.</w:t>
            </w:r>
          </w:p>
        </w:tc>
      </w:tr>
      <w:tr w:rsidR="004D3E09" w:rsidRPr="00C8545B" w:rsidTr="004D3E09">
        <w:tblPrEx>
          <w:tblLook w:val="0000"/>
        </w:tblPrEx>
        <w:trPr>
          <w:trHeight w:val="1800"/>
        </w:trPr>
        <w:tc>
          <w:tcPr>
            <w:tcW w:w="425" w:type="dxa"/>
            <w:shd w:val="clear" w:color="auto" w:fill="auto"/>
            <w:vAlign w:val="center"/>
          </w:tcPr>
          <w:p w:rsidR="004D3E09" w:rsidRPr="00C8545B" w:rsidRDefault="004D3E09" w:rsidP="005A7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C8545B" w:rsidRDefault="004D3E09" w:rsidP="00CA524D">
            <w:pPr>
              <w:ind w:left="-108"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C8545B" w:rsidRDefault="004D3E09" w:rsidP="002E1790">
            <w:pPr>
              <w:ind w:right="-100"/>
              <w:rPr>
                <w:color w:val="000000"/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Рішення 24-ї сесії міської ради «Про внесення змін до рішення </w:t>
            </w:r>
            <w:r w:rsidRPr="00C8545B">
              <w:rPr>
                <w:color w:val="000000"/>
                <w:sz w:val="20"/>
                <w:szCs w:val="20"/>
              </w:rPr>
              <w:t>11-ї</w:t>
            </w:r>
            <w:r w:rsidRPr="00C8545B">
              <w:rPr>
                <w:sz w:val="20"/>
                <w:szCs w:val="20"/>
              </w:rPr>
              <w:t xml:space="preserve"> сесії міської ради від 24.02.2011р. №320 «Про встановлення ставки збору за місця для паркування транспортних засобів»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C8545B" w:rsidRDefault="004D3E09" w:rsidP="00F42044">
            <w:pPr>
              <w:pStyle w:val="20"/>
              <w:spacing w:line="240" w:lineRule="auto"/>
              <w:rPr>
                <w:sz w:val="20"/>
                <w:szCs w:val="20"/>
                <w:lang w:val="uk-UA"/>
              </w:rPr>
            </w:pPr>
            <w:r w:rsidRPr="00C8545B">
              <w:rPr>
                <w:sz w:val="20"/>
                <w:szCs w:val="20"/>
                <w:lang w:val="uk-UA"/>
              </w:rPr>
              <w:t>Приведення Положення про збір за місця для паркування транспортних засобів у відповідність до вимог діючого законодавства.</w:t>
            </w:r>
          </w:p>
        </w:tc>
        <w:tc>
          <w:tcPr>
            <w:tcW w:w="1242" w:type="dxa"/>
            <w:vAlign w:val="center"/>
          </w:tcPr>
          <w:p w:rsidR="004D3E09" w:rsidRPr="00C8545B" w:rsidRDefault="004D3E09" w:rsidP="0053592F">
            <w:pPr>
              <w:jc w:val="center"/>
              <w:rPr>
                <w:color w:val="000000"/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№993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C8545B" w:rsidRDefault="004D3E09" w:rsidP="00F730CE">
            <w:pPr>
              <w:tabs>
                <w:tab w:val="num" w:pos="284"/>
              </w:tabs>
              <w:rPr>
                <w:color w:val="000000"/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27.10.2011р.</w:t>
            </w:r>
          </w:p>
        </w:tc>
      </w:tr>
      <w:tr w:rsidR="004D3E09" w:rsidRPr="00C8545B" w:rsidTr="004D3E09">
        <w:tblPrEx>
          <w:tblLook w:val="0000"/>
        </w:tblPrEx>
        <w:trPr>
          <w:trHeight w:val="241"/>
        </w:trPr>
        <w:tc>
          <w:tcPr>
            <w:tcW w:w="425" w:type="dxa"/>
            <w:shd w:val="clear" w:color="auto" w:fill="auto"/>
            <w:vAlign w:val="center"/>
          </w:tcPr>
          <w:p w:rsidR="004D3E09" w:rsidRPr="00C8545B" w:rsidRDefault="004D3E09" w:rsidP="00E0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C8545B" w:rsidRDefault="004D3E09" w:rsidP="0053592F">
            <w:pPr>
              <w:ind w:left="-66"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Відділ торгівлі та </w:t>
            </w:r>
            <w:r>
              <w:rPr>
                <w:sz w:val="20"/>
                <w:szCs w:val="20"/>
              </w:rPr>
              <w:t>захисту прав споживачів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C8545B" w:rsidRDefault="004D3E09" w:rsidP="00C8545B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Рішення 30-ї сесії міської ради </w:t>
            </w:r>
            <w:r w:rsidRPr="00C8545B">
              <w:rPr>
                <w:bCs/>
                <w:sz w:val="20"/>
                <w:szCs w:val="20"/>
              </w:rPr>
              <w:t>«Про встановлення фіксованих ставок єдиного податку»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C8545B" w:rsidRDefault="004D3E09" w:rsidP="0053592F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Забезпечення виконання вимог Податкового кодексу України та Закону України «Про внесення змін до Податкового кодексу України та деяких інших законодавчих актів України щодо спрощеної системи оподаткування, обліку та звітності» та </w:t>
            </w:r>
            <w:r w:rsidRPr="00C8545B">
              <w:rPr>
                <w:bCs/>
                <w:sz w:val="20"/>
                <w:szCs w:val="20"/>
              </w:rPr>
              <w:t>встановлення фіксованих ставок єдиного податку. Удосконалення спрощеної системи оподаткування з урахуванням змін у законодавстві. Збільшення надходжень до бюджету від сплати єдиного податку.</w:t>
            </w:r>
            <w:r w:rsidRPr="00C8545B">
              <w:rPr>
                <w:sz w:val="20"/>
                <w:szCs w:val="20"/>
              </w:rPr>
              <w:t xml:space="preserve"> Для досягнення цілей необхідно встановити та привести </w:t>
            </w:r>
            <w:r w:rsidRPr="00C8545B">
              <w:rPr>
                <w:bCs/>
                <w:sz w:val="20"/>
                <w:szCs w:val="20"/>
              </w:rPr>
              <w:t xml:space="preserve">ставки єдиного податку </w:t>
            </w:r>
            <w:r w:rsidRPr="00C8545B">
              <w:rPr>
                <w:sz w:val="20"/>
                <w:szCs w:val="20"/>
              </w:rPr>
              <w:t>у відповідність до чинного податкового законодавства та визначити чіткий механізм сплати вказаного податку.</w:t>
            </w:r>
          </w:p>
        </w:tc>
        <w:tc>
          <w:tcPr>
            <w:tcW w:w="1242" w:type="dxa"/>
            <w:vAlign w:val="center"/>
          </w:tcPr>
          <w:p w:rsidR="004D3E09" w:rsidRPr="00C8545B" w:rsidRDefault="004D3E09" w:rsidP="0053592F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№1250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C8545B" w:rsidRDefault="004D3E09" w:rsidP="0053592F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10.01.2012р.</w:t>
            </w:r>
          </w:p>
        </w:tc>
      </w:tr>
      <w:tr w:rsidR="004D3E09" w:rsidRPr="00C8545B" w:rsidTr="004D3E09">
        <w:tblPrEx>
          <w:tblLook w:val="0000"/>
        </w:tblPrEx>
        <w:trPr>
          <w:trHeight w:val="1800"/>
        </w:trPr>
        <w:tc>
          <w:tcPr>
            <w:tcW w:w="425" w:type="dxa"/>
            <w:shd w:val="clear" w:color="auto" w:fill="auto"/>
            <w:vAlign w:val="center"/>
          </w:tcPr>
          <w:p w:rsidR="004D3E09" w:rsidRPr="00C8545B" w:rsidRDefault="004D3E09" w:rsidP="003C6083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C8545B" w:rsidRDefault="004D3E09" w:rsidP="00720FB0">
            <w:pPr>
              <w:ind w:left="-38"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Відділ торгівлі та </w:t>
            </w:r>
            <w:r>
              <w:rPr>
                <w:sz w:val="20"/>
                <w:szCs w:val="20"/>
              </w:rPr>
              <w:t>захисту прав споживачів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C8545B" w:rsidRDefault="004D3E09" w:rsidP="00720FB0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Рішення виконкому міськради «Про затвердження Положення</w:t>
            </w:r>
          </w:p>
          <w:p w:rsidR="004D3E09" w:rsidRPr="00C8545B" w:rsidRDefault="004D3E09" w:rsidP="00720FB0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про порядок встановлення режиму роботи об’єктів торгівлі, ресторанного </w:t>
            </w:r>
          </w:p>
          <w:p w:rsidR="004D3E09" w:rsidRPr="00C8545B" w:rsidRDefault="004D3E09" w:rsidP="0012406B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господарства та сфери послуг на території </w:t>
            </w:r>
          </w:p>
          <w:p w:rsidR="004D3E09" w:rsidRPr="00C8545B" w:rsidRDefault="004D3E09" w:rsidP="0012406B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м. </w:t>
            </w:r>
            <w:proofErr w:type="spellStart"/>
            <w:r w:rsidRPr="00C8545B">
              <w:rPr>
                <w:sz w:val="20"/>
                <w:szCs w:val="20"/>
              </w:rPr>
              <w:t>Сєвєродонецька</w:t>
            </w:r>
            <w:proofErr w:type="spellEnd"/>
            <w:r w:rsidRPr="00C8545B">
              <w:rPr>
                <w:sz w:val="20"/>
                <w:szCs w:val="20"/>
              </w:rPr>
              <w:t>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C8545B" w:rsidRDefault="004D3E09" w:rsidP="0012406B">
            <w:pPr>
              <w:ind w:left="-20" w:firstLine="20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 ресторанного господарства та сфери послуг та доведення його до суб’єктів господарювання.</w:t>
            </w:r>
          </w:p>
        </w:tc>
        <w:tc>
          <w:tcPr>
            <w:tcW w:w="1242" w:type="dxa"/>
            <w:vAlign w:val="center"/>
          </w:tcPr>
          <w:p w:rsidR="004D3E09" w:rsidRPr="00C8545B" w:rsidRDefault="004D3E09" w:rsidP="00C24843">
            <w:pPr>
              <w:jc w:val="center"/>
              <w:rPr>
                <w:color w:val="000000"/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№1481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C8545B" w:rsidRDefault="004D3E09" w:rsidP="007C57A2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27.11.2012р.</w:t>
            </w:r>
          </w:p>
        </w:tc>
      </w:tr>
      <w:tr w:rsidR="004D3E09" w:rsidRPr="00C8545B" w:rsidTr="004D3E09">
        <w:tblPrEx>
          <w:tblLook w:val="0000"/>
        </w:tblPrEx>
        <w:trPr>
          <w:trHeight w:val="401"/>
        </w:trPr>
        <w:tc>
          <w:tcPr>
            <w:tcW w:w="425" w:type="dxa"/>
            <w:shd w:val="clear" w:color="auto" w:fill="auto"/>
            <w:vAlign w:val="center"/>
          </w:tcPr>
          <w:p w:rsidR="004D3E09" w:rsidRPr="00C8545B" w:rsidRDefault="004D3E09" w:rsidP="003C6083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C8545B" w:rsidRDefault="004D3E09" w:rsidP="00720FB0">
            <w:pPr>
              <w:ind w:left="-38"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C8545B" w:rsidRDefault="004D3E09" w:rsidP="00920F4F">
            <w:pPr>
              <w:tabs>
                <w:tab w:val="left" w:pos="3420"/>
                <w:tab w:val="left" w:pos="4140"/>
                <w:tab w:val="left" w:pos="4500"/>
                <w:tab w:val="left" w:pos="5580"/>
              </w:tabs>
              <w:ind w:left="-66" w:right="-90"/>
              <w:rPr>
                <w:rStyle w:val="FontStyle"/>
                <w:rFonts w:cs="Times New Roman"/>
                <w:color w:val="auto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53-ї сесії міськради «</w:t>
            </w:r>
            <w:r w:rsidRPr="00C8545B">
              <w:rPr>
                <w:sz w:val="20"/>
                <w:szCs w:val="20"/>
              </w:rPr>
              <w:t xml:space="preserve">Про затвердження Порядку пайової участі у розвитку інфраструктури </w:t>
            </w:r>
            <w:proofErr w:type="spellStart"/>
            <w:r w:rsidRPr="00C8545B">
              <w:rPr>
                <w:sz w:val="20"/>
                <w:szCs w:val="20"/>
              </w:rPr>
              <w:t>м.Сєвєродонецька</w:t>
            </w:r>
            <w:proofErr w:type="spellEnd"/>
            <w:r w:rsidRPr="00C8545B">
              <w:rPr>
                <w:sz w:val="20"/>
                <w:szCs w:val="20"/>
              </w:rPr>
              <w:t>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C8545B" w:rsidRDefault="004D3E09" w:rsidP="00920F4F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Визначення механізму надходжень та використання залучених коштів фізичних і юридичних осіб на розвиток інженерно-транспортної та соціальної інфраструктури міста, розвиток інженерно-транспортної та соціальної інфраструктури міста,  забезпечення благоустрою міста на належному рівні.</w:t>
            </w:r>
          </w:p>
        </w:tc>
        <w:tc>
          <w:tcPr>
            <w:tcW w:w="1242" w:type="dxa"/>
            <w:vAlign w:val="center"/>
          </w:tcPr>
          <w:p w:rsidR="004D3E09" w:rsidRPr="00C8545B" w:rsidRDefault="004D3E09" w:rsidP="00B93241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8545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№2335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C8545B" w:rsidRDefault="004D3E09" w:rsidP="007C57A2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20.12.2012р.</w:t>
            </w:r>
          </w:p>
        </w:tc>
      </w:tr>
      <w:tr w:rsidR="004D3E09" w:rsidRPr="00C8545B" w:rsidTr="004D3E09">
        <w:tblPrEx>
          <w:tblLook w:val="0000"/>
        </w:tblPrEx>
        <w:trPr>
          <w:trHeight w:val="1189"/>
        </w:trPr>
        <w:tc>
          <w:tcPr>
            <w:tcW w:w="425" w:type="dxa"/>
            <w:shd w:val="clear" w:color="auto" w:fill="auto"/>
            <w:vAlign w:val="center"/>
          </w:tcPr>
          <w:p w:rsidR="004D3E09" w:rsidRPr="00C8545B" w:rsidRDefault="004D3E09" w:rsidP="004D3E09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C8545B" w:rsidRDefault="004D3E09" w:rsidP="00720FB0">
            <w:pPr>
              <w:ind w:left="-38"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C8545B" w:rsidRDefault="004D3E09" w:rsidP="00C8545B">
            <w:pPr>
              <w:tabs>
                <w:tab w:val="left" w:pos="3420"/>
                <w:tab w:val="left" w:pos="4140"/>
                <w:tab w:val="left" w:pos="4500"/>
                <w:tab w:val="left" w:pos="5580"/>
              </w:tabs>
              <w:ind w:left="-66" w:right="-90"/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 xml:space="preserve">Рішення 56-ї сесії міськради «Про </w:t>
            </w:r>
            <w:r w:rsidRPr="00C8545B">
              <w:rPr>
                <w:sz w:val="20"/>
                <w:szCs w:val="20"/>
              </w:rPr>
              <w:t xml:space="preserve">затвердження «Порядку проведення земельних торгів по продажу земельних ділянок або прав на них, </w:t>
            </w:r>
            <w:r>
              <w:rPr>
                <w:sz w:val="20"/>
                <w:szCs w:val="20"/>
              </w:rPr>
              <w:t>р</w:t>
            </w:r>
            <w:r w:rsidRPr="00C8545B">
              <w:rPr>
                <w:sz w:val="20"/>
                <w:szCs w:val="20"/>
              </w:rPr>
              <w:t xml:space="preserve">озпорядження якими здійснює </w:t>
            </w:r>
            <w:proofErr w:type="spellStart"/>
            <w:r w:rsidRPr="00C8545B">
              <w:rPr>
                <w:sz w:val="20"/>
                <w:szCs w:val="20"/>
              </w:rPr>
              <w:t>Сєвєродонецька</w:t>
            </w:r>
            <w:proofErr w:type="spellEnd"/>
            <w:r w:rsidRPr="00C8545B">
              <w:rPr>
                <w:sz w:val="20"/>
                <w:szCs w:val="20"/>
              </w:rPr>
              <w:t xml:space="preserve"> міська рада»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C8545B" w:rsidRDefault="004D3E09" w:rsidP="009778DA">
            <w:pPr>
              <w:rPr>
                <w:color w:val="000000"/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Метою Порядку </w:t>
            </w:r>
            <w:r w:rsidRPr="00C8545B">
              <w:rPr>
                <w:color w:val="000000"/>
                <w:sz w:val="20"/>
                <w:szCs w:val="20"/>
              </w:rPr>
              <w:t>є:</w:t>
            </w:r>
          </w:p>
          <w:p w:rsidR="004D3E09" w:rsidRPr="00C8545B" w:rsidRDefault="004D3E09" w:rsidP="009778D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363"/>
              <w:rPr>
                <w:color w:val="000000"/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- стимулювання підприємницької діяльності;</w:t>
            </w:r>
          </w:p>
          <w:p w:rsidR="004D3E09" w:rsidRPr="00C8545B" w:rsidRDefault="004D3E09" w:rsidP="009778D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3"/>
              <w:rPr>
                <w:color w:val="000000"/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- провадження відкритих економічних методів регулювання земельних відносин, розвитку інфраструктури первинного ринку землі;</w:t>
            </w:r>
          </w:p>
          <w:p w:rsidR="004D3E09" w:rsidRPr="00C8545B" w:rsidRDefault="004D3E09" w:rsidP="009778D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23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- залучення додаткових коштів для виконання програм соціально-економічного розвитку міста;</w:t>
            </w:r>
          </w:p>
          <w:p w:rsidR="004D3E09" w:rsidRPr="00C8545B" w:rsidRDefault="004D3E09" w:rsidP="009778D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363"/>
              <w:rPr>
                <w:color w:val="000000"/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 xml:space="preserve">- створення умов </w:t>
            </w:r>
            <w:r w:rsidRPr="00C8545B">
              <w:rPr>
                <w:sz w:val="20"/>
                <w:szCs w:val="20"/>
              </w:rPr>
              <w:t>ефективного використання земельного фонду;</w:t>
            </w:r>
          </w:p>
          <w:p w:rsidR="004D3E09" w:rsidRPr="00C8545B" w:rsidRDefault="004D3E09" w:rsidP="009778D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23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- залучення в сферу земельних відносин земель резервного фонду </w:t>
            </w:r>
            <w:proofErr w:type="spellStart"/>
            <w:r w:rsidRPr="00C8545B">
              <w:rPr>
                <w:sz w:val="20"/>
                <w:szCs w:val="20"/>
              </w:rPr>
              <w:t>Сєвєродонецької</w:t>
            </w:r>
            <w:proofErr w:type="spellEnd"/>
            <w:r w:rsidRPr="00C8545B">
              <w:rPr>
                <w:sz w:val="20"/>
                <w:szCs w:val="20"/>
              </w:rPr>
              <w:t xml:space="preserve"> міської ради.</w:t>
            </w:r>
          </w:p>
        </w:tc>
        <w:tc>
          <w:tcPr>
            <w:tcW w:w="1242" w:type="dxa"/>
            <w:vAlign w:val="center"/>
          </w:tcPr>
          <w:p w:rsidR="004D3E09" w:rsidRPr="00C8545B" w:rsidRDefault="004D3E09" w:rsidP="00EC06A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8545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>№2429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C8545B" w:rsidRDefault="004D3E09" w:rsidP="007C57A2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24.01.2013р.</w:t>
            </w:r>
          </w:p>
        </w:tc>
      </w:tr>
      <w:tr w:rsidR="004D3E09" w:rsidRPr="00C8545B" w:rsidTr="004D3E09">
        <w:tblPrEx>
          <w:tblLook w:val="0000"/>
        </w:tblPrEx>
        <w:trPr>
          <w:trHeight w:val="241"/>
        </w:trPr>
        <w:tc>
          <w:tcPr>
            <w:tcW w:w="425" w:type="dxa"/>
            <w:shd w:val="clear" w:color="auto" w:fill="auto"/>
            <w:vAlign w:val="center"/>
          </w:tcPr>
          <w:p w:rsidR="004D3E09" w:rsidRPr="00C8545B" w:rsidRDefault="004D3E09" w:rsidP="003C6083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C8545B" w:rsidRDefault="004D3E09" w:rsidP="00A445B2">
            <w:pPr>
              <w:ind w:left="-38"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C8545B" w:rsidRDefault="004D3E09" w:rsidP="00A445B2">
            <w:pPr>
              <w:ind w:right="-62"/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63-ї сесії міськради</w:t>
            </w:r>
            <w:r w:rsidRPr="00C8545B">
              <w:rPr>
                <w:sz w:val="20"/>
                <w:szCs w:val="20"/>
              </w:rPr>
              <w:t xml:space="preserve"> «Про внесення доповнень до рішення сесії міської ради </w:t>
            </w:r>
            <w:r w:rsidRPr="00C8545B">
              <w:rPr>
                <w:color w:val="000000"/>
                <w:sz w:val="20"/>
                <w:szCs w:val="20"/>
              </w:rPr>
              <w:t>№2335 від 20.12.2012р.</w:t>
            </w:r>
            <w:r w:rsidRPr="00C8545B">
              <w:rPr>
                <w:sz w:val="20"/>
                <w:szCs w:val="20"/>
              </w:rPr>
              <w:t xml:space="preserve"> «Про затвердження Порядку пайової участі у розвитку інфраструктури </w:t>
            </w:r>
            <w:proofErr w:type="spellStart"/>
            <w:r w:rsidRPr="00C8545B">
              <w:rPr>
                <w:sz w:val="20"/>
                <w:szCs w:val="20"/>
              </w:rPr>
              <w:t>м.Сєвєродонецька</w:t>
            </w:r>
            <w:proofErr w:type="spellEnd"/>
            <w:r w:rsidRPr="00C8545B">
              <w:rPr>
                <w:sz w:val="20"/>
                <w:szCs w:val="20"/>
              </w:rPr>
              <w:t>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C8545B" w:rsidRDefault="004D3E09" w:rsidP="00A445B2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Метою державного регулювання є врегулювання питання пайової участі замовників у розвитку інфраструктури при переплануванні та переобладнанні приміщень в багатоквартирних житлових будинках та гуртожитках, продовження роботи по розгляду звернень фізичних і юридичних осіб та надання дозволів на перепланування та переобладнання  приміщень в багатоквартирних житлових будинках та гуртожитках, забезпечення прав фізичних та юридичних осіб на володіння, користування та розпорядження приватною власністю та підвищення комфортності проживання. </w:t>
            </w:r>
          </w:p>
        </w:tc>
        <w:tc>
          <w:tcPr>
            <w:tcW w:w="1242" w:type="dxa"/>
            <w:vAlign w:val="center"/>
          </w:tcPr>
          <w:p w:rsidR="004D3E09" w:rsidRPr="00C8545B" w:rsidRDefault="004D3E09" w:rsidP="00A445B2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C8545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>№2685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C8545B" w:rsidRDefault="004D3E09" w:rsidP="00A445B2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30.05.2013р.</w:t>
            </w:r>
          </w:p>
        </w:tc>
      </w:tr>
      <w:tr w:rsidR="004D3E09" w:rsidRPr="00C8545B" w:rsidTr="004D3E09">
        <w:tblPrEx>
          <w:tblLook w:val="0000"/>
        </w:tblPrEx>
        <w:trPr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4D3E09" w:rsidRPr="00C8545B" w:rsidRDefault="004D3E09" w:rsidP="003C6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C8545B" w:rsidRDefault="004D3E09" w:rsidP="00720FB0">
            <w:pPr>
              <w:ind w:left="-38" w:right="-108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Відділ торгівлі та </w:t>
            </w:r>
            <w:r>
              <w:rPr>
                <w:sz w:val="20"/>
                <w:szCs w:val="20"/>
              </w:rPr>
              <w:t>захисту прав споживачів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C8545B" w:rsidRDefault="004D3E09" w:rsidP="00C8545B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Рішення виконкому «Про затвердження Порядку організації сезонної, ярмаркової та святкової торгівлі на території </w:t>
            </w:r>
          </w:p>
          <w:p w:rsidR="004D3E09" w:rsidRPr="00C8545B" w:rsidRDefault="004D3E09" w:rsidP="0042147C">
            <w:pPr>
              <w:tabs>
                <w:tab w:val="left" w:pos="3420"/>
                <w:tab w:val="left" w:pos="4140"/>
                <w:tab w:val="left" w:pos="4500"/>
                <w:tab w:val="left" w:pos="5580"/>
              </w:tabs>
              <w:ind w:left="-66" w:right="-90"/>
              <w:rPr>
                <w:color w:val="000000"/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м. </w:t>
            </w:r>
            <w:proofErr w:type="spellStart"/>
            <w:r w:rsidRPr="00C8545B">
              <w:rPr>
                <w:sz w:val="20"/>
                <w:szCs w:val="20"/>
              </w:rPr>
              <w:t>Сєвєродонецька</w:t>
            </w:r>
            <w:proofErr w:type="spellEnd"/>
            <w:r w:rsidRPr="00C8545B">
              <w:rPr>
                <w:sz w:val="20"/>
                <w:szCs w:val="20"/>
              </w:rPr>
              <w:t>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C8545B" w:rsidRDefault="004D3E09" w:rsidP="00A445B2">
            <w:pPr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C8545B">
              <w:rPr>
                <w:rStyle w:val="FontStyle15"/>
                <w:rFonts w:ascii="Times New Roman" w:hAnsi="Times New Roman" w:cs="Times New Roman"/>
                <w:b w:val="0"/>
              </w:rPr>
              <w:t xml:space="preserve">Впорядкування організації сезонної торгівлі, ярмарків, торговельного обслуговування та надання послуг населенню під час проведення масових заходів на території м. </w:t>
            </w:r>
            <w:proofErr w:type="spellStart"/>
            <w:r w:rsidRPr="00C8545B">
              <w:rPr>
                <w:rStyle w:val="FontStyle15"/>
                <w:rFonts w:ascii="Times New Roman" w:hAnsi="Times New Roman" w:cs="Times New Roman"/>
                <w:b w:val="0"/>
              </w:rPr>
              <w:t>Сєвєродонецька</w:t>
            </w:r>
            <w:proofErr w:type="spellEnd"/>
            <w:r w:rsidRPr="00C8545B">
              <w:rPr>
                <w:rStyle w:val="FontStyle15"/>
                <w:rFonts w:ascii="Times New Roman" w:hAnsi="Times New Roman" w:cs="Times New Roman"/>
                <w:b w:val="0"/>
              </w:rPr>
              <w:t xml:space="preserve"> та удосконалення правового регулювання господарських відносин між органами місцевої влади та суб’єктами господарювання.</w:t>
            </w:r>
          </w:p>
          <w:p w:rsidR="004D3E09" w:rsidRPr="00C8545B" w:rsidRDefault="004D3E09" w:rsidP="00A445B2">
            <w:pPr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C8545B">
              <w:rPr>
                <w:rStyle w:val="FontStyle15"/>
                <w:rFonts w:ascii="Times New Roman" w:hAnsi="Times New Roman" w:cs="Times New Roman"/>
                <w:b w:val="0"/>
              </w:rPr>
              <w:t xml:space="preserve">Визначення і запровадження Порядку організації сезонної, ярмаркової та святкової торгівлі на території </w:t>
            </w:r>
          </w:p>
          <w:p w:rsidR="004D3E09" w:rsidRPr="00C8545B" w:rsidRDefault="004D3E09" w:rsidP="00A445B2">
            <w:pPr>
              <w:rPr>
                <w:b/>
                <w:bCs/>
                <w:sz w:val="20"/>
                <w:szCs w:val="20"/>
              </w:rPr>
            </w:pPr>
            <w:r w:rsidRPr="00C8545B">
              <w:rPr>
                <w:rStyle w:val="FontStyle15"/>
                <w:rFonts w:ascii="Times New Roman" w:hAnsi="Times New Roman" w:cs="Times New Roman"/>
                <w:b w:val="0"/>
              </w:rPr>
              <w:t xml:space="preserve">м. </w:t>
            </w:r>
            <w:proofErr w:type="spellStart"/>
            <w:r w:rsidRPr="00C8545B">
              <w:rPr>
                <w:rStyle w:val="FontStyle15"/>
                <w:rFonts w:ascii="Times New Roman" w:hAnsi="Times New Roman" w:cs="Times New Roman"/>
                <w:b w:val="0"/>
              </w:rPr>
              <w:t>Сєвєродонецька</w:t>
            </w:r>
            <w:proofErr w:type="spellEnd"/>
            <w:r w:rsidRPr="00C8545B">
              <w:rPr>
                <w:rStyle w:val="FontStyle15"/>
                <w:rFonts w:ascii="Times New Roman" w:hAnsi="Times New Roman" w:cs="Times New Roman"/>
                <w:b w:val="0"/>
              </w:rPr>
              <w:t xml:space="preserve"> та доведення його до суб’єктів господарювання.</w:t>
            </w:r>
          </w:p>
        </w:tc>
        <w:tc>
          <w:tcPr>
            <w:tcW w:w="1242" w:type="dxa"/>
            <w:vAlign w:val="center"/>
          </w:tcPr>
          <w:p w:rsidR="004D3E09" w:rsidRPr="00C8545B" w:rsidRDefault="004D3E09" w:rsidP="002421CF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C8545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>№686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C8545B" w:rsidRDefault="004D3E09" w:rsidP="007C57A2">
            <w:pPr>
              <w:jc w:val="center"/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27.08.2013р.</w:t>
            </w:r>
          </w:p>
        </w:tc>
      </w:tr>
      <w:tr w:rsidR="004D3E09" w:rsidRPr="000F51E7" w:rsidTr="004D3E09">
        <w:tblPrEx>
          <w:tblLook w:val="0000"/>
        </w:tblPrEx>
        <w:trPr>
          <w:trHeight w:val="1060"/>
        </w:trPr>
        <w:tc>
          <w:tcPr>
            <w:tcW w:w="425" w:type="dxa"/>
            <w:shd w:val="clear" w:color="auto" w:fill="auto"/>
            <w:vAlign w:val="center"/>
          </w:tcPr>
          <w:p w:rsidR="004D3E09" w:rsidRPr="000F51E7" w:rsidRDefault="004D3E09" w:rsidP="004D3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0F51E7" w:rsidRDefault="004D3E09" w:rsidP="00554CCF">
            <w:pPr>
              <w:ind w:left="-38" w:right="-108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0F51E7" w:rsidRDefault="004D3E09" w:rsidP="00554CCF">
            <w:pPr>
              <w:ind w:right="-144"/>
              <w:rPr>
                <w:sz w:val="20"/>
                <w:szCs w:val="20"/>
              </w:rPr>
            </w:pPr>
            <w:r w:rsidRPr="000F51E7">
              <w:rPr>
                <w:color w:val="000000"/>
                <w:sz w:val="20"/>
                <w:szCs w:val="20"/>
              </w:rPr>
              <w:t>Рішення 79-ї сесії міськради</w:t>
            </w:r>
            <w:r w:rsidRPr="000F51E7">
              <w:rPr>
                <w:sz w:val="20"/>
                <w:szCs w:val="20"/>
              </w:rPr>
              <w:t xml:space="preserve"> «Про затвердження Порядку демонтажу засобів зовнішньої реклами в м. </w:t>
            </w:r>
            <w:proofErr w:type="spellStart"/>
            <w:r w:rsidRPr="000F51E7">
              <w:rPr>
                <w:sz w:val="20"/>
                <w:szCs w:val="20"/>
              </w:rPr>
              <w:t>Сєвєродонецьку</w:t>
            </w:r>
            <w:proofErr w:type="spellEnd"/>
            <w:r w:rsidRPr="000F51E7">
              <w:rPr>
                <w:sz w:val="20"/>
                <w:szCs w:val="20"/>
              </w:rPr>
              <w:t>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0F51E7" w:rsidRDefault="004D3E09" w:rsidP="00554CCF">
            <w:pPr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0F51E7">
              <w:rPr>
                <w:sz w:val="20"/>
                <w:szCs w:val="20"/>
              </w:rPr>
              <w:t xml:space="preserve">Встановлення єдиних правил проведення демонтажу засобів зовнішньої реклами та підвищення рівня благоустрою міста </w:t>
            </w:r>
            <w:proofErr w:type="spellStart"/>
            <w:r w:rsidRPr="000F51E7">
              <w:rPr>
                <w:sz w:val="20"/>
                <w:szCs w:val="20"/>
              </w:rPr>
              <w:t>Сєвєродонецьку</w:t>
            </w:r>
            <w:proofErr w:type="spellEnd"/>
            <w:r w:rsidRPr="000F51E7"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Align w:val="center"/>
          </w:tcPr>
          <w:p w:rsidR="004D3E09" w:rsidRPr="000F51E7" w:rsidRDefault="004D3E09" w:rsidP="00C8545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</w:pPr>
            <w:r w:rsidRPr="000F51E7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>№3467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0F51E7" w:rsidRDefault="004D3E09" w:rsidP="00554CCF">
            <w:pPr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30.01.2014р.</w:t>
            </w:r>
          </w:p>
        </w:tc>
      </w:tr>
      <w:tr w:rsidR="004D3E09" w:rsidRPr="000F51E7" w:rsidTr="004D3E09">
        <w:tblPrEx>
          <w:tblLook w:val="0000"/>
        </w:tblPrEx>
        <w:trPr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4D3E09" w:rsidRPr="000F51E7" w:rsidRDefault="004D3E09" w:rsidP="00E0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0F51E7" w:rsidRDefault="004D3E09" w:rsidP="007B5639">
            <w:pPr>
              <w:ind w:left="-38" w:right="-108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0F51E7" w:rsidRDefault="004D3E09" w:rsidP="00F42044">
            <w:pPr>
              <w:ind w:right="-2"/>
              <w:rPr>
                <w:rStyle w:val="FontStyle"/>
                <w:rFonts w:cs="Times New Roman"/>
                <w:color w:val="auto"/>
              </w:rPr>
            </w:pPr>
            <w:r w:rsidRPr="000F51E7">
              <w:rPr>
                <w:color w:val="000000"/>
                <w:sz w:val="20"/>
                <w:szCs w:val="20"/>
              </w:rPr>
              <w:t>Рішення 81-ї сесії міськради</w:t>
            </w:r>
            <w:r w:rsidRPr="000F51E7">
              <w:rPr>
                <w:sz w:val="20"/>
                <w:szCs w:val="20"/>
              </w:rPr>
              <w:t xml:space="preserve"> «Про затвердження Порядку надання інвалідам місць під </w:t>
            </w:r>
            <w:r w:rsidRPr="000F51E7">
              <w:rPr>
                <w:sz w:val="20"/>
                <w:szCs w:val="20"/>
              </w:rPr>
              <w:lastRenderedPageBreak/>
              <w:t xml:space="preserve">установку металевих гаражів для зберігання автомобілів у </w:t>
            </w:r>
            <w:proofErr w:type="spellStart"/>
            <w:r w:rsidRPr="000F51E7">
              <w:rPr>
                <w:sz w:val="20"/>
                <w:szCs w:val="20"/>
              </w:rPr>
              <w:t>м.Сєвєродонецьку</w:t>
            </w:r>
            <w:proofErr w:type="spellEnd"/>
            <w:r w:rsidRPr="000F51E7">
              <w:rPr>
                <w:sz w:val="20"/>
                <w:szCs w:val="20"/>
              </w:rPr>
              <w:t>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0F51E7" w:rsidRDefault="004D3E09" w:rsidP="00C42DCF">
            <w:pPr>
              <w:rPr>
                <w:color w:val="000000"/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lastRenderedPageBreak/>
              <w:t xml:space="preserve">Забезпечення виконання Закону України «Про основи соціальної захищеності інвалідів в Україні» та врегулювання </w:t>
            </w:r>
            <w:r w:rsidRPr="000F51E7">
              <w:rPr>
                <w:sz w:val="20"/>
                <w:szCs w:val="20"/>
              </w:rPr>
              <w:lastRenderedPageBreak/>
              <w:t xml:space="preserve">питання </w:t>
            </w:r>
            <w:r w:rsidRPr="000F51E7">
              <w:rPr>
                <w:color w:val="000000"/>
                <w:sz w:val="20"/>
                <w:szCs w:val="20"/>
              </w:rPr>
              <w:t>забезпечення інвалідів та інших груп пільгової категорії місцями під установку металевих гаражів для зберігання автомобілів.</w:t>
            </w:r>
          </w:p>
        </w:tc>
        <w:tc>
          <w:tcPr>
            <w:tcW w:w="1242" w:type="dxa"/>
            <w:vAlign w:val="center"/>
          </w:tcPr>
          <w:p w:rsidR="004D3E09" w:rsidRPr="000F51E7" w:rsidRDefault="004D3E09" w:rsidP="007B5639">
            <w:pPr>
              <w:jc w:val="center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lastRenderedPageBreak/>
              <w:t>№ 3551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0F51E7" w:rsidRDefault="004D3E09" w:rsidP="007B5639">
            <w:pPr>
              <w:jc w:val="center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20.02.2014р.</w:t>
            </w:r>
          </w:p>
        </w:tc>
      </w:tr>
      <w:tr w:rsidR="004D3E09" w:rsidRPr="000F51E7" w:rsidTr="004D3E09">
        <w:tblPrEx>
          <w:tblLook w:val="0000"/>
        </w:tblPrEx>
        <w:trPr>
          <w:trHeight w:val="259"/>
        </w:trPr>
        <w:tc>
          <w:tcPr>
            <w:tcW w:w="425" w:type="dxa"/>
            <w:shd w:val="clear" w:color="auto" w:fill="auto"/>
            <w:vAlign w:val="center"/>
          </w:tcPr>
          <w:p w:rsidR="004D3E09" w:rsidRPr="000F51E7" w:rsidRDefault="004D3E09" w:rsidP="003C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0F51E7" w:rsidRDefault="004D3E09" w:rsidP="009507FF">
            <w:pPr>
              <w:ind w:left="-38" w:right="-108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4D3E09" w:rsidRPr="000F51E7" w:rsidRDefault="004D3E09" w:rsidP="00C8545B">
            <w:pPr>
              <w:ind w:right="-2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 xml:space="preserve">Рішення 89-ї сесії </w:t>
            </w:r>
            <w:r w:rsidRPr="000F51E7">
              <w:rPr>
                <w:color w:val="000000"/>
                <w:sz w:val="20"/>
                <w:szCs w:val="20"/>
              </w:rPr>
              <w:t>міськради</w:t>
            </w:r>
            <w:r w:rsidRPr="000F51E7">
              <w:rPr>
                <w:sz w:val="20"/>
                <w:szCs w:val="20"/>
              </w:rPr>
              <w:t xml:space="preserve"> «Про внесення змін до рішення сесії міської ради №3551 від 20.02.2014р. «Про 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0F51E7">
              <w:rPr>
                <w:sz w:val="20"/>
                <w:szCs w:val="20"/>
              </w:rPr>
              <w:t>м.Сєвєродонецьку</w:t>
            </w:r>
            <w:proofErr w:type="spellEnd"/>
            <w:r w:rsidRPr="000F51E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0F51E7" w:rsidRDefault="004D3E09" w:rsidP="00581C7B">
            <w:pPr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Приведення у відповідність до вимог діючого законодавства та спрощення процедури надання інвалідам місць під установку металевих гаражів для зберігання автомобілів</w:t>
            </w:r>
          </w:p>
        </w:tc>
        <w:tc>
          <w:tcPr>
            <w:tcW w:w="1242" w:type="dxa"/>
            <w:vAlign w:val="center"/>
          </w:tcPr>
          <w:p w:rsidR="004D3E09" w:rsidRPr="000F51E7" w:rsidRDefault="004D3E09" w:rsidP="00581C7B">
            <w:pPr>
              <w:jc w:val="center"/>
              <w:rPr>
                <w:color w:val="000000"/>
                <w:sz w:val="20"/>
                <w:szCs w:val="20"/>
              </w:rPr>
            </w:pPr>
            <w:r w:rsidRPr="000F51E7">
              <w:rPr>
                <w:color w:val="000000"/>
                <w:sz w:val="20"/>
                <w:szCs w:val="20"/>
              </w:rPr>
              <w:t>№4062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0F51E7" w:rsidRDefault="004D3E09" w:rsidP="0054067E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0F51E7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25.09.2014р.</w:t>
            </w:r>
          </w:p>
        </w:tc>
      </w:tr>
      <w:tr w:rsidR="004D3E09" w:rsidRPr="000F51E7" w:rsidTr="004D3E09">
        <w:tblPrEx>
          <w:tblLook w:val="0000"/>
        </w:tblPrEx>
        <w:trPr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4D3E09" w:rsidRPr="000F51E7" w:rsidRDefault="004D3E09" w:rsidP="004D3E09">
            <w:pPr>
              <w:jc w:val="center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0F51E7" w:rsidRDefault="004D3E09" w:rsidP="004E18F9">
            <w:pPr>
              <w:ind w:left="-38" w:right="-108"/>
              <w:jc w:val="both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2736" w:type="dxa"/>
            <w:shd w:val="clear" w:color="auto" w:fill="auto"/>
          </w:tcPr>
          <w:p w:rsidR="004D3E09" w:rsidRPr="000F51E7" w:rsidRDefault="004D3E09" w:rsidP="00C854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 xml:space="preserve">Рішення 89-ї сесії </w:t>
            </w:r>
            <w:r w:rsidRPr="000F51E7">
              <w:rPr>
                <w:color w:val="000000"/>
                <w:sz w:val="20"/>
                <w:szCs w:val="20"/>
              </w:rPr>
              <w:t>міськради</w:t>
            </w:r>
            <w:r w:rsidRPr="000F51E7">
              <w:rPr>
                <w:sz w:val="20"/>
                <w:szCs w:val="20"/>
              </w:rPr>
              <w:t xml:space="preserve"> «</w:t>
            </w:r>
            <w:r w:rsidRPr="000F51E7">
              <w:rPr>
                <w:color w:val="000000"/>
                <w:sz w:val="20"/>
                <w:szCs w:val="20"/>
              </w:rPr>
              <w:t xml:space="preserve">Про внесення  змін до рішення  56-ї  (чергової) сесії  міської ради №2429 від  24.01.2013р. «Про </w:t>
            </w:r>
            <w:r w:rsidRPr="000F51E7">
              <w:rPr>
                <w:sz w:val="20"/>
                <w:szCs w:val="20"/>
              </w:rPr>
              <w:t xml:space="preserve">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0F51E7">
              <w:rPr>
                <w:sz w:val="20"/>
                <w:szCs w:val="20"/>
              </w:rPr>
              <w:t>Сєвєродонецька</w:t>
            </w:r>
            <w:proofErr w:type="spellEnd"/>
            <w:r w:rsidRPr="000F51E7">
              <w:rPr>
                <w:sz w:val="20"/>
                <w:szCs w:val="20"/>
              </w:rPr>
              <w:t xml:space="preserve"> міська рада»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0F51E7" w:rsidRDefault="004D3E09" w:rsidP="00F42044">
            <w:pPr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Приведення у відповідність до вимог діючого законодавства</w:t>
            </w:r>
          </w:p>
        </w:tc>
        <w:tc>
          <w:tcPr>
            <w:tcW w:w="1242" w:type="dxa"/>
            <w:vAlign w:val="center"/>
          </w:tcPr>
          <w:p w:rsidR="004D3E09" w:rsidRPr="000F51E7" w:rsidRDefault="004D3E09" w:rsidP="0054067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F51E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№4112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0F51E7" w:rsidRDefault="004D3E09" w:rsidP="0054067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0F51E7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25.09.2014р.</w:t>
            </w:r>
          </w:p>
        </w:tc>
      </w:tr>
      <w:tr w:rsidR="004D3E09" w:rsidRPr="000F51E7" w:rsidTr="004D3E09">
        <w:tblPrEx>
          <w:tblLook w:val="0000"/>
        </w:tblPrEx>
        <w:trPr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4D3E09" w:rsidRPr="000F51E7" w:rsidRDefault="004D3E09" w:rsidP="00E07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0F51E7" w:rsidRDefault="004D3E09" w:rsidP="004E18F9">
            <w:pPr>
              <w:ind w:left="-38" w:right="-108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</w:tcPr>
          <w:p w:rsidR="004D3E09" w:rsidRPr="000F51E7" w:rsidRDefault="004D3E09" w:rsidP="004E1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 xml:space="preserve">Рішення 93-ї сесії </w:t>
            </w:r>
            <w:r w:rsidRPr="000F51E7">
              <w:rPr>
                <w:color w:val="000000"/>
                <w:sz w:val="20"/>
                <w:szCs w:val="20"/>
              </w:rPr>
              <w:t>міськради</w:t>
            </w:r>
            <w:r w:rsidRPr="000F51E7">
              <w:rPr>
                <w:sz w:val="20"/>
                <w:szCs w:val="20"/>
              </w:rPr>
              <w:t xml:space="preserve"> «Про внесення змін до рішення сесії міської ради </w:t>
            </w:r>
            <w:r w:rsidRPr="000F51E7">
              <w:rPr>
                <w:color w:val="000000"/>
                <w:sz w:val="20"/>
                <w:szCs w:val="20"/>
              </w:rPr>
              <w:t>№2335 від 20.12.2012р.</w:t>
            </w:r>
            <w:r w:rsidRPr="000F51E7">
              <w:rPr>
                <w:sz w:val="20"/>
                <w:szCs w:val="20"/>
              </w:rPr>
              <w:t xml:space="preserve"> «Про затвердження Порядку пайової участі у розвитку інфраструктури </w:t>
            </w:r>
            <w:proofErr w:type="spellStart"/>
            <w:r w:rsidRPr="000F51E7">
              <w:rPr>
                <w:sz w:val="20"/>
                <w:szCs w:val="20"/>
              </w:rPr>
              <w:t>м.Сєвєродонецька</w:t>
            </w:r>
            <w:proofErr w:type="spellEnd"/>
            <w:r w:rsidRPr="000F51E7">
              <w:rPr>
                <w:sz w:val="20"/>
                <w:szCs w:val="20"/>
              </w:rPr>
              <w:t>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0F51E7" w:rsidRDefault="004D3E09" w:rsidP="004E18F9">
            <w:pPr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Врегулювання питання пайової участі замовників в розвитку інфраструктури міста, спрощення процедури визначення пайового внеску.</w:t>
            </w:r>
          </w:p>
        </w:tc>
        <w:tc>
          <w:tcPr>
            <w:tcW w:w="1242" w:type="dxa"/>
            <w:vAlign w:val="center"/>
          </w:tcPr>
          <w:p w:rsidR="004D3E09" w:rsidRPr="000F51E7" w:rsidRDefault="004D3E09" w:rsidP="004E18F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F51E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№4196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0F51E7" w:rsidRDefault="004D3E09" w:rsidP="004E18F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0F51E7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27.11.2014р.</w:t>
            </w:r>
          </w:p>
        </w:tc>
      </w:tr>
      <w:tr w:rsidR="004D3E09" w:rsidRPr="004E18F9" w:rsidTr="004D3E09">
        <w:tblPrEx>
          <w:tblLook w:val="0000"/>
        </w:tblPrEx>
        <w:trPr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4D3E09" w:rsidRPr="000F51E7" w:rsidRDefault="004D3E09" w:rsidP="003C6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0F51E7" w:rsidRDefault="004D3E09" w:rsidP="004E18F9">
            <w:pPr>
              <w:ind w:left="-38" w:right="-108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</w:tcPr>
          <w:p w:rsidR="004D3E09" w:rsidRPr="000F51E7" w:rsidRDefault="004D3E09" w:rsidP="004E18F9">
            <w:pPr>
              <w:pStyle w:val="32"/>
              <w:ind w:right="-2"/>
              <w:jc w:val="left"/>
              <w:rPr>
                <w:sz w:val="20"/>
                <w:lang w:val="uk-UA"/>
              </w:rPr>
            </w:pPr>
            <w:r w:rsidRPr="000F51E7">
              <w:rPr>
                <w:sz w:val="20"/>
                <w:lang w:val="uk-UA"/>
              </w:rPr>
              <w:t xml:space="preserve">Рішення 93-ї сесії </w:t>
            </w:r>
            <w:r w:rsidRPr="000F51E7">
              <w:rPr>
                <w:color w:val="000000"/>
                <w:sz w:val="20"/>
                <w:lang w:val="uk-UA"/>
              </w:rPr>
              <w:t>міськради</w:t>
            </w:r>
            <w:r w:rsidRPr="000F51E7">
              <w:rPr>
                <w:sz w:val="20"/>
                <w:lang w:val="uk-UA"/>
              </w:rPr>
              <w:t xml:space="preserve"> «Про внесення змін до рішення сесії міської ради №1037 від 27.10.2011р. «Про затвердження Порядку розміщення зовнішньої реклами у місті </w:t>
            </w:r>
            <w:proofErr w:type="spellStart"/>
            <w:r w:rsidRPr="000F51E7">
              <w:rPr>
                <w:sz w:val="20"/>
                <w:lang w:val="uk-UA"/>
              </w:rPr>
              <w:t>Сєвєродонецьку</w:t>
            </w:r>
            <w:proofErr w:type="spellEnd"/>
            <w:r w:rsidRPr="000F51E7">
              <w:rPr>
                <w:sz w:val="20"/>
                <w:lang w:val="uk-UA"/>
              </w:rPr>
              <w:t>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0F51E7" w:rsidRDefault="004D3E09" w:rsidP="00BC0B5D">
            <w:pPr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 xml:space="preserve">Врегулювання питання розміщення зовнішньої реклами у місті </w:t>
            </w:r>
            <w:proofErr w:type="spellStart"/>
            <w:r w:rsidRPr="000F51E7">
              <w:rPr>
                <w:sz w:val="20"/>
                <w:szCs w:val="20"/>
              </w:rPr>
              <w:t>Сєвєродонецьку</w:t>
            </w:r>
            <w:proofErr w:type="spellEnd"/>
            <w:r w:rsidRPr="000F51E7">
              <w:rPr>
                <w:sz w:val="20"/>
                <w:szCs w:val="20"/>
              </w:rPr>
              <w:t>, приведення Порядку розміщення зовнішньої у відповідність до діючого законодавства.</w:t>
            </w:r>
          </w:p>
        </w:tc>
        <w:tc>
          <w:tcPr>
            <w:tcW w:w="1242" w:type="dxa"/>
            <w:vAlign w:val="center"/>
          </w:tcPr>
          <w:p w:rsidR="004D3E09" w:rsidRPr="000F51E7" w:rsidRDefault="004D3E09" w:rsidP="004E18F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F51E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№4197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4E18F9" w:rsidRDefault="004D3E09" w:rsidP="004E18F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0F51E7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27.11.2014р.</w:t>
            </w:r>
          </w:p>
        </w:tc>
      </w:tr>
      <w:tr w:rsidR="004D3E09" w:rsidRPr="004E18F9" w:rsidTr="004D3E09">
        <w:tblPrEx>
          <w:tblLook w:val="0000"/>
        </w:tblPrEx>
        <w:trPr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4D3E09" w:rsidRDefault="004D3E09" w:rsidP="004D3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0F51E7" w:rsidRDefault="004D3E09" w:rsidP="004E18F9">
            <w:pPr>
              <w:ind w:left="-38" w:right="-108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2736" w:type="dxa"/>
            <w:shd w:val="clear" w:color="auto" w:fill="auto"/>
          </w:tcPr>
          <w:p w:rsidR="004D3E09" w:rsidRPr="007B5D48" w:rsidRDefault="004D3E09" w:rsidP="007B5D48">
            <w:pPr>
              <w:rPr>
                <w:sz w:val="20"/>
                <w:szCs w:val="20"/>
              </w:rPr>
            </w:pPr>
            <w:r w:rsidRPr="000F51E7">
              <w:rPr>
                <w:sz w:val="20"/>
              </w:rPr>
              <w:t>Рішення 9</w:t>
            </w:r>
            <w:r>
              <w:rPr>
                <w:sz w:val="20"/>
              </w:rPr>
              <w:t>9</w:t>
            </w:r>
            <w:r w:rsidRPr="000F51E7">
              <w:rPr>
                <w:sz w:val="20"/>
              </w:rPr>
              <w:t xml:space="preserve">-ї сесії </w:t>
            </w:r>
            <w:r w:rsidRPr="000F51E7">
              <w:rPr>
                <w:color w:val="000000"/>
                <w:sz w:val="20"/>
              </w:rPr>
              <w:t>міськради</w:t>
            </w:r>
            <w:r w:rsidRPr="000F51E7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7B5D48">
              <w:rPr>
                <w:sz w:val="20"/>
                <w:szCs w:val="20"/>
              </w:rPr>
              <w:t>Про внесення змін до рішення сесії міської ради №3329 від 22.07.2009р.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</w:t>
            </w:r>
          </w:p>
          <w:p w:rsidR="004D3E09" w:rsidRPr="007B5D48" w:rsidRDefault="004D3E09" w:rsidP="007B5D48">
            <w:pPr>
              <w:rPr>
                <w:sz w:val="20"/>
                <w:szCs w:val="20"/>
              </w:rPr>
            </w:pPr>
            <w:r w:rsidRPr="007B5D48">
              <w:rPr>
                <w:sz w:val="20"/>
                <w:szCs w:val="20"/>
              </w:rPr>
              <w:t xml:space="preserve"> </w:t>
            </w:r>
            <w:proofErr w:type="spellStart"/>
            <w:r w:rsidRPr="007B5D48">
              <w:rPr>
                <w:sz w:val="20"/>
                <w:szCs w:val="20"/>
              </w:rPr>
              <w:t>Сєвєродонецької</w:t>
            </w:r>
            <w:proofErr w:type="spellEnd"/>
            <w:r w:rsidRPr="007B5D48">
              <w:rPr>
                <w:sz w:val="20"/>
                <w:szCs w:val="20"/>
              </w:rPr>
              <w:t xml:space="preserve"> міської ради»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7B5D48" w:rsidRDefault="004D3E09" w:rsidP="007B5D48">
            <w:pPr>
              <w:rPr>
                <w:sz w:val="20"/>
                <w:szCs w:val="20"/>
              </w:rPr>
            </w:pPr>
            <w:r w:rsidRPr="007B5D48">
              <w:rPr>
                <w:sz w:val="20"/>
                <w:szCs w:val="20"/>
              </w:rPr>
              <w:t xml:space="preserve">Приведення Положення про порядок переведення жилих приміщень в нежилі та їх реконструкції під розміщення об’єктів невиробничої сфери на території </w:t>
            </w:r>
            <w:proofErr w:type="spellStart"/>
            <w:r w:rsidRPr="007B5D48">
              <w:rPr>
                <w:sz w:val="20"/>
                <w:szCs w:val="20"/>
              </w:rPr>
              <w:t>Сєвєродонецької</w:t>
            </w:r>
            <w:proofErr w:type="spellEnd"/>
            <w:r w:rsidRPr="007B5D48">
              <w:rPr>
                <w:sz w:val="20"/>
                <w:szCs w:val="20"/>
              </w:rPr>
              <w:t xml:space="preserve"> міської ради» у відповідність до вимог діючого законодавства та спрощення процедури переведення жилих приміщень в нежилі та їх реконструкції під розміщення об’єктів невиробничої сфери</w:t>
            </w:r>
          </w:p>
        </w:tc>
        <w:tc>
          <w:tcPr>
            <w:tcW w:w="1242" w:type="dxa"/>
            <w:vAlign w:val="center"/>
          </w:tcPr>
          <w:p w:rsidR="004D3E09" w:rsidRPr="000F51E7" w:rsidRDefault="004D3E09" w:rsidP="004E18F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№4470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Pr="000F51E7" w:rsidRDefault="004D3E09" w:rsidP="004E18F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31.03.2015р.</w:t>
            </w:r>
          </w:p>
        </w:tc>
      </w:tr>
      <w:tr w:rsidR="004D3E09" w:rsidRPr="004E18F9" w:rsidTr="004D3E09">
        <w:tblPrEx>
          <w:tblLook w:val="0000"/>
        </w:tblPrEx>
        <w:trPr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4D3E09" w:rsidRDefault="004D3E09" w:rsidP="004D3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0F51E7" w:rsidRDefault="004D3E09" w:rsidP="004E18F9">
            <w:pPr>
              <w:ind w:left="-38" w:right="-108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2736" w:type="dxa"/>
            <w:shd w:val="clear" w:color="auto" w:fill="auto"/>
          </w:tcPr>
          <w:p w:rsidR="004D3E09" w:rsidRPr="00A64F80" w:rsidRDefault="004D3E09" w:rsidP="00A64F8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rPr>
                <w:color w:val="000000"/>
                <w:sz w:val="20"/>
                <w:szCs w:val="20"/>
              </w:rPr>
            </w:pPr>
            <w:r w:rsidRPr="00A64F80">
              <w:rPr>
                <w:sz w:val="20"/>
                <w:szCs w:val="20"/>
              </w:rPr>
              <w:t xml:space="preserve">Рішення 102-ї сесії </w:t>
            </w:r>
            <w:r w:rsidRPr="00A64F80">
              <w:rPr>
                <w:color w:val="000000"/>
                <w:sz w:val="20"/>
                <w:szCs w:val="20"/>
              </w:rPr>
              <w:t>міськради</w:t>
            </w:r>
            <w:r w:rsidRPr="00A64F80">
              <w:rPr>
                <w:sz w:val="20"/>
                <w:szCs w:val="20"/>
              </w:rPr>
              <w:t xml:space="preserve"> </w:t>
            </w:r>
            <w:r w:rsidRPr="00A64F80">
              <w:rPr>
                <w:color w:val="000000"/>
                <w:sz w:val="20"/>
                <w:szCs w:val="20"/>
              </w:rPr>
              <w:t xml:space="preserve">«Про встановлення податку на майно в частині плати за землю на території населених </w:t>
            </w:r>
            <w:r w:rsidRPr="00A64F80">
              <w:rPr>
                <w:color w:val="000000"/>
                <w:sz w:val="20"/>
                <w:szCs w:val="20"/>
              </w:rPr>
              <w:lastRenderedPageBreak/>
              <w:t xml:space="preserve">пунктів </w:t>
            </w:r>
            <w:proofErr w:type="spellStart"/>
            <w:r w:rsidRPr="00A64F80">
              <w:rPr>
                <w:color w:val="000000"/>
                <w:sz w:val="20"/>
                <w:szCs w:val="20"/>
              </w:rPr>
              <w:t>Сєвєродонецької</w:t>
            </w:r>
            <w:proofErr w:type="spellEnd"/>
            <w:r w:rsidRPr="00A64F80">
              <w:rPr>
                <w:color w:val="000000"/>
                <w:sz w:val="20"/>
                <w:szCs w:val="20"/>
              </w:rPr>
              <w:t xml:space="preserve"> міської ради»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Pr="007B5D48" w:rsidRDefault="004D3E09" w:rsidP="007B5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Встановлення ставок земельного податку відповідно до вимог Податкового Кодексу України. Наповнення та збільшення доходної частини міського бюджету.</w:t>
            </w:r>
          </w:p>
        </w:tc>
        <w:tc>
          <w:tcPr>
            <w:tcW w:w="1242" w:type="dxa"/>
            <w:vAlign w:val="center"/>
          </w:tcPr>
          <w:p w:rsidR="004D3E09" w:rsidRDefault="004D3E09" w:rsidP="004E18F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№4815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Default="004D3E09" w:rsidP="004E18F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25.06.2015р.</w:t>
            </w:r>
          </w:p>
        </w:tc>
      </w:tr>
      <w:tr w:rsidR="004D3E09" w:rsidRPr="004E18F9" w:rsidTr="004D3E09">
        <w:tblPrEx>
          <w:tblLook w:val="0000"/>
        </w:tblPrEx>
        <w:trPr>
          <w:trHeight w:val="421"/>
        </w:trPr>
        <w:tc>
          <w:tcPr>
            <w:tcW w:w="425" w:type="dxa"/>
            <w:shd w:val="clear" w:color="auto" w:fill="auto"/>
            <w:vAlign w:val="center"/>
          </w:tcPr>
          <w:p w:rsidR="004D3E09" w:rsidRDefault="004D3E09" w:rsidP="004D3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25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3E09" w:rsidRPr="000F51E7" w:rsidRDefault="004D3E09" w:rsidP="004E18F9">
            <w:pPr>
              <w:ind w:left="-38" w:right="-108"/>
              <w:rPr>
                <w:sz w:val="20"/>
                <w:szCs w:val="20"/>
              </w:rPr>
            </w:pPr>
            <w:r w:rsidRPr="000F51E7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2736" w:type="dxa"/>
            <w:shd w:val="clear" w:color="auto" w:fill="auto"/>
          </w:tcPr>
          <w:p w:rsidR="004D3E09" w:rsidRPr="00A64F80" w:rsidRDefault="004D3E09" w:rsidP="00A800A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rPr>
                <w:sz w:val="20"/>
                <w:szCs w:val="20"/>
              </w:rPr>
            </w:pPr>
            <w:r w:rsidRPr="00A800AD">
              <w:rPr>
                <w:sz w:val="20"/>
                <w:szCs w:val="20"/>
              </w:rPr>
              <w:t xml:space="preserve">Рішення 14-ї сесії міськради "Про затвердження ставок орендної плати за земельні ділянки на території </w:t>
            </w:r>
            <w:proofErr w:type="spellStart"/>
            <w:r w:rsidRPr="00A800AD">
              <w:rPr>
                <w:sz w:val="20"/>
                <w:szCs w:val="20"/>
              </w:rPr>
              <w:t>Сєвєродонецької</w:t>
            </w:r>
            <w:proofErr w:type="spellEnd"/>
            <w:r w:rsidRPr="00A800AD">
              <w:rPr>
                <w:sz w:val="20"/>
                <w:szCs w:val="20"/>
              </w:rPr>
              <w:t xml:space="preserve"> міської ради" 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E09" w:rsidRDefault="004D3E09" w:rsidP="007B5D48">
            <w:pPr>
              <w:rPr>
                <w:sz w:val="20"/>
                <w:szCs w:val="20"/>
              </w:rPr>
            </w:pPr>
            <w:r w:rsidRPr="00A800AD">
              <w:rPr>
                <w:sz w:val="20"/>
                <w:szCs w:val="20"/>
              </w:rPr>
              <w:t xml:space="preserve">Врегулювання земельних відносин на території </w:t>
            </w:r>
            <w:proofErr w:type="spellStart"/>
            <w:r w:rsidRPr="00A800AD">
              <w:rPr>
                <w:sz w:val="20"/>
                <w:szCs w:val="20"/>
              </w:rPr>
              <w:t>Сєвєродонецької</w:t>
            </w:r>
            <w:proofErr w:type="spellEnd"/>
            <w:r w:rsidRPr="00A800AD">
              <w:rPr>
                <w:sz w:val="20"/>
                <w:szCs w:val="20"/>
              </w:rPr>
              <w:t xml:space="preserve"> міської ради</w:t>
            </w:r>
          </w:p>
        </w:tc>
        <w:tc>
          <w:tcPr>
            <w:tcW w:w="1242" w:type="dxa"/>
            <w:vAlign w:val="center"/>
          </w:tcPr>
          <w:p w:rsidR="004D3E09" w:rsidRDefault="004D3E09" w:rsidP="004E18F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№478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E09" w:rsidRDefault="004D3E09" w:rsidP="004E18F9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22.06.2016р.</w:t>
            </w:r>
          </w:p>
        </w:tc>
      </w:tr>
    </w:tbl>
    <w:p w:rsidR="0054067E" w:rsidRPr="00C8545B" w:rsidRDefault="0054067E" w:rsidP="00636092">
      <w:pPr>
        <w:pStyle w:val="12"/>
        <w:spacing w:before="0" w:after="0"/>
        <w:rPr>
          <w:i/>
          <w:snapToGrid/>
          <w:sz w:val="20"/>
          <w:lang w:val="uk-UA"/>
        </w:rPr>
      </w:pPr>
    </w:p>
    <w:p w:rsidR="0054067E" w:rsidRPr="00C8545B" w:rsidRDefault="0054067E" w:rsidP="00636092">
      <w:pPr>
        <w:pStyle w:val="12"/>
        <w:spacing w:before="0" w:after="0"/>
        <w:rPr>
          <w:i/>
          <w:snapToGrid/>
          <w:sz w:val="20"/>
          <w:lang w:val="uk-UA"/>
        </w:rPr>
      </w:pPr>
    </w:p>
    <w:p w:rsidR="00636092" w:rsidRPr="00C8545B" w:rsidRDefault="00636092" w:rsidP="00636092">
      <w:pPr>
        <w:pStyle w:val="12"/>
        <w:spacing w:before="0" w:after="0"/>
        <w:rPr>
          <w:i/>
          <w:snapToGrid/>
          <w:sz w:val="20"/>
          <w:lang w:val="uk-UA"/>
        </w:rPr>
      </w:pPr>
      <w:r w:rsidRPr="00C8545B">
        <w:rPr>
          <w:i/>
          <w:snapToGrid/>
          <w:sz w:val="20"/>
          <w:lang w:val="uk-UA"/>
        </w:rPr>
        <w:t>П</w:t>
      </w:r>
      <w:r w:rsidR="00A14CC2" w:rsidRPr="00C8545B">
        <w:rPr>
          <w:i/>
          <w:snapToGrid/>
          <w:sz w:val="20"/>
          <w:lang w:val="uk-UA"/>
        </w:rPr>
        <w:t>ерелік</w:t>
      </w:r>
      <w:r w:rsidRPr="00C8545B">
        <w:rPr>
          <w:i/>
          <w:snapToGrid/>
          <w:sz w:val="20"/>
          <w:lang w:val="uk-UA"/>
        </w:rPr>
        <w:t xml:space="preserve"> підготовлено Департаментом економічного </w:t>
      </w:r>
      <w:r w:rsidR="003F06AE">
        <w:rPr>
          <w:i/>
          <w:snapToGrid/>
          <w:sz w:val="20"/>
          <w:lang w:val="uk-UA"/>
        </w:rPr>
        <w:t xml:space="preserve">розвитку та торгівлі </w:t>
      </w:r>
      <w:r w:rsidRPr="00C8545B">
        <w:rPr>
          <w:i/>
          <w:snapToGrid/>
          <w:sz w:val="20"/>
          <w:lang w:val="uk-UA"/>
        </w:rPr>
        <w:t xml:space="preserve"> </w:t>
      </w:r>
      <w:proofErr w:type="spellStart"/>
      <w:r w:rsidRPr="00C8545B">
        <w:rPr>
          <w:i/>
          <w:snapToGrid/>
          <w:sz w:val="20"/>
          <w:lang w:val="uk-UA"/>
        </w:rPr>
        <w:t>Сєвєродонецької</w:t>
      </w:r>
      <w:proofErr w:type="spellEnd"/>
      <w:r w:rsidRPr="00C8545B">
        <w:rPr>
          <w:i/>
          <w:snapToGrid/>
          <w:sz w:val="20"/>
          <w:lang w:val="uk-UA"/>
        </w:rPr>
        <w:t xml:space="preserve"> міської ради</w:t>
      </w:r>
    </w:p>
    <w:p w:rsidR="00733068" w:rsidRPr="00C8545B" w:rsidRDefault="00733068">
      <w:pPr>
        <w:pStyle w:val="ad"/>
        <w:tabs>
          <w:tab w:val="left" w:pos="3420"/>
          <w:tab w:val="left" w:pos="3780"/>
          <w:tab w:val="left" w:pos="4500"/>
          <w:tab w:val="left" w:pos="5580"/>
        </w:tabs>
        <w:ind w:left="709" w:right="-144"/>
        <w:rPr>
          <w:rFonts w:ascii="Times New Roman" w:hAnsi="Times New Roman"/>
          <w:b/>
          <w:lang w:val="uk-UA"/>
        </w:rPr>
      </w:pPr>
    </w:p>
    <w:sectPr w:rsidR="00733068" w:rsidRPr="00C8545B" w:rsidSect="00162F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D53"/>
    <w:multiLevelType w:val="hybridMultilevel"/>
    <w:tmpl w:val="40EE3B82"/>
    <w:lvl w:ilvl="0" w:tplc="2C76F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70D45"/>
    <w:multiLevelType w:val="multilevel"/>
    <w:tmpl w:val="827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01C4E"/>
    <w:multiLevelType w:val="hybridMultilevel"/>
    <w:tmpl w:val="DBA2870A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hint="default"/>
      </w:rPr>
    </w:lvl>
  </w:abstractNum>
  <w:abstractNum w:abstractNumId="3">
    <w:nsid w:val="720924F4"/>
    <w:multiLevelType w:val="hybridMultilevel"/>
    <w:tmpl w:val="CC6851CE"/>
    <w:lvl w:ilvl="0" w:tplc="0EB22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E1C4C8F"/>
    <w:multiLevelType w:val="hybridMultilevel"/>
    <w:tmpl w:val="139A77BA"/>
    <w:lvl w:ilvl="0" w:tplc="A698B21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974"/>
    <w:rsid w:val="00010153"/>
    <w:rsid w:val="0001221A"/>
    <w:rsid w:val="000248E4"/>
    <w:rsid w:val="00060FD2"/>
    <w:rsid w:val="00062787"/>
    <w:rsid w:val="000640F9"/>
    <w:rsid w:val="00075137"/>
    <w:rsid w:val="000941E7"/>
    <w:rsid w:val="000A7504"/>
    <w:rsid w:val="000C3D9D"/>
    <w:rsid w:val="000C54B8"/>
    <w:rsid w:val="000C54F8"/>
    <w:rsid w:val="000D1DB4"/>
    <w:rsid w:val="000D2804"/>
    <w:rsid w:val="000D6626"/>
    <w:rsid w:val="000F1D0C"/>
    <w:rsid w:val="000F3AFE"/>
    <w:rsid w:val="000F51E7"/>
    <w:rsid w:val="00106F09"/>
    <w:rsid w:val="00111D78"/>
    <w:rsid w:val="001230F7"/>
    <w:rsid w:val="0012406B"/>
    <w:rsid w:val="0013360E"/>
    <w:rsid w:val="001338D4"/>
    <w:rsid w:val="001534DF"/>
    <w:rsid w:val="00162FEA"/>
    <w:rsid w:val="001661B7"/>
    <w:rsid w:val="00193F69"/>
    <w:rsid w:val="0019596D"/>
    <w:rsid w:val="00196F20"/>
    <w:rsid w:val="001B6629"/>
    <w:rsid w:val="001E4E0A"/>
    <w:rsid w:val="00213551"/>
    <w:rsid w:val="00241A76"/>
    <w:rsid w:val="002421CF"/>
    <w:rsid w:val="0027608C"/>
    <w:rsid w:val="0029051E"/>
    <w:rsid w:val="002A2F22"/>
    <w:rsid w:val="002A6DEF"/>
    <w:rsid w:val="002B6953"/>
    <w:rsid w:val="002E1790"/>
    <w:rsid w:val="002E1DC4"/>
    <w:rsid w:val="00300EBB"/>
    <w:rsid w:val="00340317"/>
    <w:rsid w:val="003465D2"/>
    <w:rsid w:val="0035080C"/>
    <w:rsid w:val="003810D7"/>
    <w:rsid w:val="00382803"/>
    <w:rsid w:val="00390D52"/>
    <w:rsid w:val="00390F34"/>
    <w:rsid w:val="00391D2E"/>
    <w:rsid w:val="003A1AE6"/>
    <w:rsid w:val="003B065A"/>
    <w:rsid w:val="003C6083"/>
    <w:rsid w:val="003C711A"/>
    <w:rsid w:val="003E2733"/>
    <w:rsid w:val="003E6E6B"/>
    <w:rsid w:val="003F06AE"/>
    <w:rsid w:val="003F6BD1"/>
    <w:rsid w:val="003F7F4B"/>
    <w:rsid w:val="0042147C"/>
    <w:rsid w:val="004236FC"/>
    <w:rsid w:val="00423EDE"/>
    <w:rsid w:val="00442253"/>
    <w:rsid w:val="00456063"/>
    <w:rsid w:val="004572EB"/>
    <w:rsid w:val="004607F2"/>
    <w:rsid w:val="00466270"/>
    <w:rsid w:val="0047054F"/>
    <w:rsid w:val="00472817"/>
    <w:rsid w:val="004824BE"/>
    <w:rsid w:val="00485CB2"/>
    <w:rsid w:val="00490AD9"/>
    <w:rsid w:val="004A0B5D"/>
    <w:rsid w:val="004B008C"/>
    <w:rsid w:val="004B3501"/>
    <w:rsid w:val="004B6CFF"/>
    <w:rsid w:val="004B73AD"/>
    <w:rsid w:val="004D0750"/>
    <w:rsid w:val="004D2956"/>
    <w:rsid w:val="004D3E09"/>
    <w:rsid w:val="004E18F9"/>
    <w:rsid w:val="004E7423"/>
    <w:rsid w:val="00513DF9"/>
    <w:rsid w:val="005225C3"/>
    <w:rsid w:val="005239D9"/>
    <w:rsid w:val="00530CEC"/>
    <w:rsid w:val="005353CD"/>
    <w:rsid w:val="0053592F"/>
    <w:rsid w:val="0054067E"/>
    <w:rsid w:val="00542266"/>
    <w:rsid w:val="00554CCF"/>
    <w:rsid w:val="00580FB0"/>
    <w:rsid w:val="00581C7B"/>
    <w:rsid w:val="005918B2"/>
    <w:rsid w:val="005960C9"/>
    <w:rsid w:val="00597045"/>
    <w:rsid w:val="005A713E"/>
    <w:rsid w:val="005B193D"/>
    <w:rsid w:val="005C1D12"/>
    <w:rsid w:val="005E1CC2"/>
    <w:rsid w:val="00614BD1"/>
    <w:rsid w:val="006210EB"/>
    <w:rsid w:val="00631860"/>
    <w:rsid w:val="00636092"/>
    <w:rsid w:val="00664FB7"/>
    <w:rsid w:val="006734D8"/>
    <w:rsid w:val="00682AA6"/>
    <w:rsid w:val="00696CD7"/>
    <w:rsid w:val="006C2075"/>
    <w:rsid w:val="006E1F67"/>
    <w:rsid w:val="006E214E"/>
    <w:rsid w:val="006F7338"/>
    <w:rsid w:val="00714746"/>
    <w:rsid w:val="00720FB0"/>
    <w:rsid w:val="00733068"/>
    <w:rsid w:val="00736A06"/>
    <w:rsid w:val="00740259"/>
    <w:rsid w:val="00752910"/>
    <w:rsid w:val="00756E66"/>
    <w:rsid w:val="0076561D"/>
    <w:rsid w:val="00783B67"/>
    <w:rsid w:val="0078575B"/>
    <w:rsid w:val="007A0C19"/>
    <w:rsid w:val="007B3C1D"/>
    <w:rsid w:val="007B5491"/>
    <w:rsid w:val="007B5D48"/>
    <w:rsid w:val="007C325A"/>
    <w:rsid w:val="007C57A2"/>
    <w:rsid w:val="007D5420"/>
    <w:rsid w:val="007D77A8"/>
    <w:rsid w:val="007E38C3"/>
    <w:rsid w:val="007F0C2C"/>
    <w:rsid w:val="007F46A6"/>
    <w:rsid w:val="007F725A"/>
    <w:rsid w:val="00806EBE"/>
    <w:rsid w:val="00835BDD"/>
    <w:rsid w:val="00841D8B"/>
    <w:rsid w:val="00843523"/>
    <w:rsid w:val="00860EB3"/>
    <w:rsid w:val="0087187F"/>
    <w:rsid w:val="008D4C0D"/>
    <w:rsid w:val="008D56E7"/>
    <w:rsid w:val="008E0AB1"/>
    <w:rsid w:val="008E25BF"/>
    <w:rsid w:val="008F0FDD"/>
    <w:rsid w:val="00903EB1"/>
    <w:rsid w:val="00906791"/>
    <w:rsid w:val="00920F4F"/>
    <w:rsid w:val="00930D61"/>
    <w:rsid w:val="00936C40"/>
    <w:rsid w:val="00944589"/>
    <w:rsid w:val="00947796"/>
    <w:rsid w:val="00960F14"/>
    <w:rsid w:val="00962E57"/>
    <w:rsid w:val="00975314"/>
    <w:rsid w:val="009778DA"/>
    <w:rsid w:val="009873C5"/>
    <w:rsid w:val="00991517"/>
    <w:rsid w:val="00991F0E"/>
    <w:rsid w:val="009B17FD"/>
    <w:rsid w:val="009C4B5C"/>
    <w:rsid w:val="009E5FEB"/>
    <w:rsid w:val="009F04FA"/>
    <w:rsid w:val="00A02E5D"/>
    <w:rsid w:val="00A14CC2"/>
    <w:rsid w:val="00A32B9A"/>
    <w:rsid w:val="00A445B2"/>
    <w:rsid w:val="00A64F80"/>
    <w:rsid w:val="00A800AD"/>
    <w:rsid w:val="00A80C6D"/>
    <w:rsid w:val="00A8678A"/>
    <w:rsid w:val="00A91DBD"/>
    <w:rsid w:val="00A92A74"/>
    <w:rsid w:val="00A95C5E"/>
    <w:rsid w:val="00AA78F9"/>
    <w:rsid w:val="00AB27ED"/>
    <w:rsid w:val="00AB519A"/>
    <w:rsid w:val="00AE5F57"/>
    <w:rsid w:val="00AF104D"/>
    <w:rsid w:val="00B01A56"/>
    <w:rsid w:val="00B049A6"/>
    <w:rsid w:val="00B04F57"/>
    <w:rsid w:val="00B15509"/>
    <w:rsid w:val="00B6713F"/>
    <w:rsid w:val="00B71F79"/>
    <w:rsid w:val="00B8455F"/>
    <w:rsid w:val="00B93241"/>
    <w:rsid w:val="00BB5A75"/>
    <w:rsid w:val="00BC0B5D"/>
    <w:rsid w:val="00BD6A7A"/>
    <w:rsid w:val="00BE21FA"/>
    <w:rsid w:val="00BE7291"/>
    <w:rsid w:val="00C0422C"/>
    <w:rsid w:val="00C11CFD"/>
    <w:rsid w:val="00C24843"/>
    <w:rsid w:val="00C42DCF"/>
    <w:rsid w:val="00C43F40"/>
    <w:rsid w:val="00C52F07"/>
    <w:rsid w:val="00C8545B"/>
    <w:rsid w:val="00CA2B21"/>
    <w:rsid w:val="00CA524D"/>
    <w:rsid w:val="00CB225A"/>
    <w:rsid w:val="00CB6677"/>
    <w:rsid w:val="00CC698F"/>
    <w:rsid w:val="00CD0E43"/>
    <w:rsid w:val="00D071D1"/>
    <w:rsid w:val="00D15A93"/>
    <w:rsid w:val="00D15FEC"/>
    <w:rsid w:val="00D32802"/>
    <w:rsid w:val="00D37D27"/>
    <w:rsid w:val="00D71F95"/>
    <w:rsid w:val="00DB6970"/>
    <w:rsid w:val="00DE5CD4"/>
    <w:rsid w:val="00DF0F1C"/>
    <w:rsid w:val="00E062C9"/>
    <w:rsid w:val="00E07808"/>
    <w:rsid w:val="00E07CC5"/>
    <w:rsid w:val="00E16B67"/>
    <w:rsid w:val="00E53750"/>
    <w:rsid w:val="00E8348B"/>
    <w:rsid w:val="00E913AA"/>
    <w:rsid w:val="00E94008"/>
    <w:rsid w:val="00EC06A0"/>
    <w:rsid w:val="00ED3370"/>
    <w:rsid w:val="00ED79BE"/>
    <w:rsid w:val="00EE0A62"/>
    <w:rsid w:val="00EE7974"/>
    <w:rsid w:val="00EF2BB8"/>
    <w:rsid w:val="00EF3B3F"/>
    <w:rsid w:val="00EF4542"/>
    <w:rsid w:val="00F0305E"/>
    <w:rsid w:val="00F122D7"/>
    <w:rsid w:val="00F27CF7"/>
    <w:rsid w:val="00F34134"/>
    <w:rsid w:val="00F42044"/>
    <w:rsid w:val="00F6327F"/>
    <w:rsid w:val="00F730CE"/>
    <w:rsid w:val="00F74A16"/>
    <w:rsid w:val="00F95826"/>
    <w:rsid w:val="00FA3406"/>
    <w:rsid w:val="00FB188E"/>
    <w:rsid w:val="00FB2CAF"/>
    <w:rsid w:val="00FB6ABA"/>
    <w:rsid w:val="00FD2664"/>
    <w:rsid w:val="00FD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9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18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C06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E1DC4"/>
    <w:pPr>
      <w:keepNext/>
      <w:ind w:left="360"/>
      <w:jc w:val="center"/>
      <w:outlineLvl w:val="2"/>
    </w:pPr>
    <w:rPr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7974"/>
    <w:pPr>
      <w:spacing w:before="100" w:beforeAutospacing="1" w:after="100" w:afterAutospacing="1"/>
    </w:pPr>
  </w:style>
  <w:style w:type="character" w:styleId="a4">
    <w:name w:val="Hyperlink"/>
    <w:basedOn w:val="a0"/>
    <w:rsid w:val="00EE7974"/>
    <w:rPr>
      <w:color w:val="0000FF"/>
      <w:u w:val="single"/>
    </w:rPr>
  </w:style>
  <w:style w:type="paragraph" w:customStyle="1" w:styleId="FR1">
    <w:name w:val="FR1"/>
    <w:rsid w:val="00EE7974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paragraph" w:customStyle="1" w:styleId="5">
    <w:name w:val="Знак5 Знак Знак Знак Знак Знак Знак"/>
    <w:basedOn w:val="a"/>
    <w:rsid w:val="00EE7974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AE5F5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B6953"/>
    <w:pPr>
      <w:ind w:firstLine="708"/>
      <w:jc w:val="both"/>
    </w:pPr>
    <w:rPr>
      <w:sz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5137"/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9B17FD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rsid w:val="009B17FD"/>
    <w:pPr>
      <w:spacing w:after="120" w:line="480" w:lineRule="auto"/>
    </w:pPr>
    <w:rPr>
      <w:lang w:val="ru-RU" w:eastAsia="ru-RU"/>
    </w:rPr>
  </w:style>
  <w:style w:type="paragraph" w:customStyle="1" w:styleId="a7">
    <w:name w:val="Знак"/>
    <w:basedOn w:val="a"/>
    <w:rsid w:val="003F6BD1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rsid w:val="000C3D9D"/>
    <w:pPr>
      <w:spacing w:after="120"/>
    </w:pPr>
  </w:style>
  <w:style w:type="paragraph" w:styleId="a9">
    <w:name w:val="Title"/>
    <w:basedOn w:val="a"/>
    <w:qFormat/>
    <w:rsid w:val="000C3D9D"/>
    <w:pPr>
      <w:jc w:val="center"/>
    </w:pPr>
    <w:rPr>
      <w:b/>
      <w:bCs/>
      <w:sz w:val="28"/>
      <w:lang w:eastAsia="ru-RU"/>
    </w:rPr>
  </w:style>
  <w:style w:type="paragraph" w:customStyle="1" w:styleId="aa">
    <w:name w:val="Заголовок списка"/>
    <w:basedOn w:val="a"/>
    <w:next w:val="a"/>
    <w:rsid w:val="000C3D9D"/>
    <w:pPr>
      <w:widowControl w:val="0"/>
      <w:suppressAutoHyphens/>
    </w:pPr>
    <w:rPr>
      <w:rFonts w:eastAsia="Lucida Sans Unicode" w:cs="Tahoma"/>
      <w:kern w:val="1"/>
      <w:lang w:val="ru-RU" w:eastAsia="hi-IN" w:bidi="hi-IN"/>
    </w:rPr>
  </w:style>
  <w:style w:type="paragraph" w:customStyle="1" w:styleId="ab">
    <w:name w:val="Содержимое таблицы"/>
    <w:basedOn w:val="a"/>
    <w:rsid w:val="000C3D9D"/>
    <w:pPr>
      <w:widowControl w:val="0"/>
      <w:suppressLineNumbers/>
      <w:suppressAutoHyphens/>
    </w:pPr>
    <w:rPr>
      <w:rFonts w:eastAsia="Lucida Sans Unicode" w:cs="Tahoma"/>
      <w:kern w:val="1"/>
      <w:lang w:val="ru-RU" w:eastAsia="hi-IN" w:bidi="hi-IN"/>
    </w:rPr>
  </w:style>
  <w:style w:type="paragraph" w:styleId="30">
    <w:name w:val="Body Text 3"/>
    <w:basedOn w:val="a"/>
    <w:rsid w:val="00BE7291"/>
    <w:pPr>
      <w:spacing w:after="120"/>
    </w:pPr>
    <w:rPr>
      <w:sz w:val="16"/>
      <w:szCs w:val="16"/>
    </w:rPr>
  </w:style>
  <w:style w:type="table" w:styleId="ac">
    <w:name w:val="Table Grid"/>
    <w:basedOn w:val="a1"/>
    <w:rsid w:val="006E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636092"/>
    <w:pPr>
      <w:spacing w:before="100" w:after="100"/>
    </w:pPr>
    <w:rPr>
      <w:snapToGrid w:val="0"/>
      <w:sz w:val="24"/>
      <w:lang w:val="ru-RU" w:eastAsia="ru-RU"/>
    </w:rPr>
  </w:style>
  <w:style w:type="paragraph" w:styleId="ad">
    <w:name w:val="Plain Text"/>
    <w:basedOn w:val="a"/>
    <w:rsid w:val="00636092"/>
    <w:rPr>
      <w:rFonts w:ascii="Courier New" w:hAnsi="Courier New"/>
      <w:sz w:val="20"/>
      <w:szCs w:val="20"/>
      <w:lang w:val="ru-RU" w:eastAsia="ru-RU"/>
    </w:rPr>
  </w:style>
  <w:style w:type="paragraph" w:styleId="ae">
    <w:name w:val="List Paragraph"/>
    <w:basedOn w:val="a"/>
    <w:qFormat/>
    <w:rsid w:val="00300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720FB0"/>
    <w:rPr>
      <w:sz w:val="20"/>
      <w:szCs w:val="20"/>
      <w:lang w:val="en-US" w:eastAsia="en-US"/>
    </w:rPr>
  </w:style>
  <w:style w:type="paragraph" w:customStyle="1" w:styleId="ParagraphStyle">
    <w:name w:val="Paragraph Style"/>
    <w:rsid w:val="00EC06A0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EC06A0"/>
    <w:rPr>
      <w:rFonts w:cs="Courier New"/>
      <w:color w:val="000000"/>
      <w:sz w:val="20"/>
      <w:szCs w:val="20"/>
    </w:rPr>
  </w:style>
  <w:style w:type="paragraph" w:customStyle="1" w:styleId="af">
    <w:name w:val="Знак Знак"/>
    <w:basedOn w:val="a"/>
    <w:rsid w:val="009E5FE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basedOn w:val="a0"/>
    <w:rsid w:val="00A445B2"/>
    <w:rPr>
      <w:rFonts w:ascii="Arial Narrow" w:hAnsi="Arial Narrow" w:cs="Arial Narrow"/>
      <w:b/>
      <w:bCs/>
      <w:sz w:val="20"/>
      <w:szCs w:val="20"/>
    </w:rPr>
  </w:style>
  <w:style w:type="paragraph" w:customStyle="1" w:styleId="31">
    <w:name w:val="Основной текст 31"/>
    <w:basedOn w:val="a"/>
    <w:rsid w:val="0054067E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szCs w:val="20"/>
      <w:lang w:val="ru-RU" w:eastAsia="ru-RU"/>
    </w:rPr>
  </w:style>
  <w:style w:type="paragraph" w:customStyle="1" w:styleId="af0">
    <w:name w:val="Знак"/>
    <w:basedOn w:val="a"/>
    <w:rsid w:val="004E18F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E1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2">
    <w:name w:val="Основной текст 32"/>
    <w:basedOn w:val="a"/>
    <w:rsid w:val="004E18F9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0221-917B-4E73-9100-BCC33719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7668</Words>
  <Characters>4372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userMak1344</cp:lastModifiedBy>
  <cp:revision>4</cp:revision>
  <cp:lastPrinted>2016-07-08T08:47:00Z</cp:lastPrinted>
  <dcterms:created xsi:type="dcterms:W3CDTF">2016-07-08T08:43:00Z</dcterms:created>
  <dcterms:modified xsi:type="dcterms:W3CDTF">2016-07-08T09:02:00Z</dcterms:modified>
</cp:coreProperties>
</file>