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49" w:rsidRDefault="008467B6">
      <w:pPr>
        <w:pStyle w:val="Standard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ЗАТВЕРДЖЕНО</w:t>
      </w:r>
    </w:p>
    <w:p w:rsidR="00263C49" w:rsidRDefault="008467B6">
      <w:pPr>
        <w:pStyle w:val="Standard"/>
        <w:jc w:val="right"/>
        <w:rPr>
          <w:lang w:val="uk-UA"/>
        </w:rPr>
      </w:pPr>
      <w:r>
        <w:rPr>
          <w:lang w:val="uk-UA"/>
        </w:rPr>
        <w:t xml:space="preserve">                                      Рішенням </w:t>
      </w:r>
      <w:r>
        <w:rPr>
          <w:lang w:val="uk-UA"/>
        </w:rPr>
        <w:t>виконавчого комітету</w:t>
      </w:r>
    </w:p>
    <w:p w:rsidR="00263C49" w:rsidRDefault="008467B6">
      <w:pPr>
        <w:pStyle w:val="Standard"/>
        <w:jc w:val="right"/>
        <w:rPr>
          <w:lang w:val="uk-UA"/>
        </w:rPr>
      </w:pPr>
      <w:r>
        <w:rPr>
          <w:lang w:val="uk-UA"/>
        </w:rPr>
        <w:t>Сєвєродонецької міської ради</w:t>
      </w:r>
    </w:p>
    <w:p w:rsidR="00263C49" w:rsidRDefault="008467B6">
      <w:pPr>
        <w:pStyle w:val="Standard"/>
        <w:jc w:val="right"/>
        <w:rPr>
          <w:lang w:val="uk-UA"/>
        </w:rPr>
      </w:pPr>
      <w:r>
        <w:rPr>
          <w:lang w:val="uk-UA"/>
        </w:rPr>
        <w:t>“</w:t>
      </w:r>
      <w:r>
        <w:t>23</w:t>
      </w:r>
      <w:r>
        <w:rPr>
          <w:lang w:val="uk-UA"/>
        </w:rPr>
        <w:t>”</w:t>
      </w:r>
      <w:r>
        <w:rPr>
          <w:lang w:val="ru-RU"/>
        </w:rPr>
        <w:t xml:space="preserve">лютого  </w:t>
      </w:r>
      <w:r>
        <w:rPr>
          <w:lang w:val="uk-UA"/>
        </w:rPr>
        <w:t xml:space="preserve">2018р  № </w:t>
      </w:r>
      <w:r>
        <w:rPr>
          <w:lang w:val="ru-RU"/>
        </w:rPr>
        <w:t>119</w:t>
      </w:r>
    </w:p>
    <w:p w:rsidR="00263C49" w:rsidRDefault="00263C49">
      <w:pPr>
        <w:pStyle w:val="Standard"/>
        <w:jc w:val="right"/>
        <w:rPr>
          <w:lang w:val="uk-UA"/>
        </w:rPr>
      </w:pPr>
    </w:p>
    <w:p w:rsidR="00263C49" w:rsidRDefault="00263C49">
      <w:pPr>
        <w:pStyle w:val="Standard"/>
        <w:jc w:val="right"/>
        <w:rPr>
          <w:lang w:val="uk-UA"/>
        </w:rPr>
      </w:pPr>
    </w:p>
    <w:p w:rsidR="00263C49" w:rsidRDefault="00263C49">
      <w:pPr>
        <w:pStyle w:val="Standard"/>
        <w:jc w:val="right"/>
        <w:rPr>
          <w:lang w:val="uk-UA"/>
        </w:rPr>
      </w:pPr>
    </w:p>
    <w:p w:rsidR="00263C49" w:rsidRDefault="008467B6">
      <w:pPr>
        <w:pStyle w:val="Standard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ПОРЯДОК</w:t>
      </w:r>
    </w:p>
    <w:p w:rsidR="00263C49" w:rsidRDefault="008467B6">
      <w:pPr>
        <w:pStyle w:val="Standard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забезпечення харчуванням спортсменів по групах видів спорту, спортивних суддів та інших учасників спортивних заходів, міського та обласного рівня</w:t>
      </w:r>
    </w:p>
    <w:p w:rsidR="00263C49" w:rsidRDefault="008467B6">
      <w:pPr>
        <w:pStyle w:val="Standard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за рахунок коштів місь</w:t>
      </w:r>
      <w:r>
        <w:rPr>
          <w:b/>
          <w:bCs/>
          <w:lang w:val="uk-UA"/>
        </w:rPr>
        <w:t>кого бюджету</w:t>
      </w:r>
    </w:p>
    <w:p w:rsidR="00263C49" w:rsidRDefault="00263C49">
      <w:pPr>
        <w:pStyle w:val="Standard"/>
        <w:rPr>
          <w:lang w:val="uk-UA"/>
        </w:rPr>
      </w:pPr>
    </w:p>
    <w:p w:rsidR="00263C49" w:rsidRDefault="00263C49">
      <w:pPr>
        <w:pStyle w:val="Standard"/>
        <w:rPr>
          <w:lang w:val="uk-UA"/>
        </w:rPr>
      </w:pP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 xml:space="preserve">1.    </w:t>
      </w:r>
      <w:r>
        <w:rPr>
          <w:lang w:val="uk-UA"/>
        </w:rPr>
        <w:tab/>
        <w:t>Цей порядок визначає механізм забезпечення харчуванням за рахунок коштів міського бюджету (далі- бюджетні кошти) учасників спортивних заходів, міського та обласного рівня (далі-спортивні заходи).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 xml:space="preserve">2.  </w:t>
      </w:r>
      <w:r>
        <w:rPr>
          <w:lang w:val="uk-UA"/>
        </w:rPr>
        <w:tab/>
        <w:t>До спортивних заходів ,учасники я</w:t>
      </w:r>
      <w:r>
        <w:rPr>
          <w:lang w:val="uk-UA"/>
        </w:rPr>
        <w:t>ких забезпечуються харчуванням за рахунок бюджетних коштів, належать: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ab/>
        <w:t>спортивні заходи, включені до Єдиного календарного плану фізкультурно-оздоровчих та спортивних заходів на відповідний рік, затвердженого заступником міського голови Сєвєродонецької місь</w:t>
      </w:r>
      <w:r>
        <w:rPr>
          <w:lang w:val="uk-UA"/>
        </w:rPr>
        <w:t>кої ради, зокрема розіграші Кубків та Чемпіонатів міста , офіційні міські та обласні змагання;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ab/>
        <w:t>спортивні заходи , що проводяться дитячо-юнацькими спортивними школами усіх типів, які фінансуються за рахунок бюджетних коштів (далі — школи).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  <w:t>За рахунок бю</w:t>
      </w:r>
      <w:r>
        <w:rPr>
          <w:lang w:val="uk-UA"/>
        </w:rPr>
        <w:t>джетних коштів під час проведення спортивних заходів забезпечуються харчуванням такі  учасники: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ab/>
        <w:t>спортивних заходів — спортсмени,тренери, спортивні судді та інші фахівці, які забезпечують організацію та проведення таких заходів (керівники заходів, допоміжн</w:t>
      </w:r>
      <w:r>
        <w:rPr>
          <w:lang w:val="uk-UA"/>
        </w:rPr>
        <w:t>і та обслуговуючи працівники, що забезпечують їх проведення), які відповідно до положень (регламентів) про проведення зазначених заходів включені до списку їх учасників згідно з розпорядчим актом організатора, що проводить спортивний захід;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ab/>
        <w:t>спортивних зах</w:t>
      </w:r>
      <w:r>
        <w:rPr>
          <w:lang w:val="uk-UA"/>
        </w:rPr>
        <w:t>одів, що проводяться за місцем розташування шкіл- постійний та змінний склад спортсменів.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>4.</w:t>
      </w:r>
      <w:r>
        <w:rPr>
          <w:lang w:val="uk-UA"/>
        </w:rPr>
        <w:tab/>
        <w:t>Видатки на забезпечення харчуванням здійснюються в межах і за рахунок коштів міського бюджету та інших джерел не заборонених чинним законодавством.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>5.</w:t>
      </w:r>
      <w:r>
        <w:rPr>
          <w:lang w:val="uk-UA"/>
        </w:rPr>
        <w:tab/>
        <w:t xml:space="preserve">Грошова </w:t>
      </w:r>
      <w:r>
        <w:rPr>
          <w:lang w:val="uk-UA"/>
        </w:rPr>
        <w:t>добова норма витрат на забезпечення харчуванням учасників спортивних заходів затверджується рішенням виконавчого комітету Сєвєродонецької міської ради. Зазначені норми витрат можуть переглядатися щороку на підставі показників індексу споживчих цін, які обч</w:t>
      </w:r>
      <w:r>
        <w:rPr>
          <w:lang w:val="uk-UA"/>
        </w:rPr>
        <w:t>исляються центральним органом виконавчої влади, що реалізує державну політику у сфері статистики.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>6.</w:t>
      </w:r>
      <w:r>
        <w:rPr>
          <w:lang w:val="uk-UA"/>
        </w:rPr>
        <w:tab/>
        <w:t>Під час проведення спортивних заходів організатор, що проводить такі заходи, забезпечує харчуванням їх учасників відповідно до положення про проведення заз</w:t>
      </w:r>
      <w:r>
        <w:rPr>
          <w:lang w:val="uk-UA"/>
        </w:rPr>
        <w:t>начених заходів та добових норм.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  <w:t>Організатор , що проводить спортивні заходи укладає угоди про надання послуг із забезпечення харчуванням учасників таких заходів за безготівковим розрахунком з закладом громадського харчування з урахуванням їх місця зна</w:t>
      </w:r>
      <w:r>
        <w:rPr>
          <w:lang w:val="uk-UA"/>
        </w:rPr>
        <w:t>ходження.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ab/>
        <w:t xml:space="preserve">У разі відсутності з об'єктивних причин можливості та доцільності організації повноцінного харчування учасників спортивних заходів, забезпечення їх харчуванням  може здійснюватися шляхом перерахування в установленому порядку бюджетних коштів на </w:t>
      </w:r>
      <w:r>
        <w:rPr>
          <w:lang w:val="uk-UA"/>
        </w:rPr>
        <w:t>власні платіжні картки відповідальних за спортивний захід або виплати таких коштів готівкою з урахуванням добових норм та пункту 5 цього Порядку.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>7.</w:t>
      </w:r>
      <w:r>
        <w:rPr>
          <w:lang w:val="uk-UA"/>
        </w:rPr>
        <w:tab/>
        <w:t xml:space="preserve">Забезпечення харчуванням спортсменів збірних команд міста з видів спорту та їх </w:t>
      </w:r>
      <w:r>
        <w:rPr>
          <w:lang w:val="uk-UA"/>
        </w:rPr>
        <w:lastRenderedPageBreak/>
        <w:t>тренерів під час участі у сп</w:t>
      </w:r>
      <w:r>
        <w:rPr>
          <w:lang w:val="uk-UA"/>
        </w:rPr>
        <w:t>ортивних заходах здійснюється відповідно до грошових добових норм, визначених згідно з пунктом 5 цього Порядку, та добових норм шляхом: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ab/>
        <w:t>укладення з закладом громадського харчування договору про надання послуг із забезпечення харчуванням учасників спортивн</w:t>
      </w:r>
      <w:r>
        <w:rPr>
          <w:lang w:val="uk-UA"/>
        </w:rPr>
        <w:t>их заходів за безготівковим розрахунком;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ab/>
        <w:t>надання закладом громадського харчування сухого пайка учасникам спортивних заходів ( у разі неможливості забезпечення їх харчуванням шляхом надання відповідних послуг);</w:t>
      </w:r>
    </w:p>
    <w:p w:rsidR="00263C49" w:rsidRDefault="008467B6">
      <w:pPr>
        <w:pStyle w:val="Standard"/>
        <w:rPr>
          <w:b/>
          <w:bCs/>
          <w:lang w:val="uk-UA"/>
        </w:rPr>
      </w:pPr>
      <w:r>
        <w:rPr>
          <w:lang w:val="uk-UA"/>
        </w:rPr>
        <w:tab/>
        <w:t>перерахування бюджетних коштів на власні пл</w:t>
      </w:r>
      <w:r>
        <w:rPr>
          <w:lang w:val="uk-UA"/>
        </w:rPr>
        <w:t>атіжні картки спортсменів і тренерів, які забезпечують себе харчуванням самостійно, з дотриманням встановленого режиму харчування.</w:t>
      </w:r>
    </w:p>
    <w:p w:rsidR="00263C49" w:rsidRDefault="008467B6">
      <w:pPr>
        <w:pStyle w:val="Standard"/>
        <w:rPr>
          <w:lang w:val="uk-UA"/>
        </w:rPr>
      </w:pPr>
      <w:r>
        <w:rPr>
          <w:lang w:val="uk-UA"/>
        </w:rPr>
        <w:tab/>
      </w:r>
    </w:p>
    <w:p w:rsidR="00263C49" w:rsidRDefault="00263C49">
      <w:pPr>
        <w:pStyle w:val="Standard"/>
        <w:rPr>
          <w:lang w:val="uk-UA"/>
        </w:rPr>
      </w:pPr>
    </w:p>
    <w:p w:rsidR="00263C49" w:rsidRDefault="00263C49">
      <w:pPr>
        <w:pStyle w:val="Standard"/>
        <w:rPr>
          <w:lang w:val="uk-UA"/>
        </w:rPr>
      </w:pPr>
    </w:p>
    <w:p w:rsidR="00263C49" w:rsidRDefault="008467B6">
      <w:pPr>
        <w:pStyle w:val="Standard"/>
        <w:rPr>
          <w:b/>
          <w:bCs/>
          <w:lang w:val="uk-UA"/>
        </w:rPr>
      </w:pPr>
      <w:r>
        <w:rPr>
          <w:b/>
          <w:bCs/>
          <w:lang w:val="uk-UA"/>
        </w:rPr>
        <w:t>Керуючий справами виконкому                                                                         Ю.А. Журба</w:t>
      </w:r>
    </w:p>
    <w:p w:rsidR="00263C49" w:rsidRDefault="00263C49">
      <w:pPr>
        <w:pStyle w:val="Standard"/>
        <w:rPr>
          <w:b/>
          <w:bCs/>
          <w:lang w:val="uk-UA"/>
        </w:rPr>
      </w:pPr>
    </w:p>
    <w:p w:rsidR="00263C49" w:rsidRDefault="00263C49">
      <w:pPr>
        <w:pStyle w:val="Standard"/>
        <w:rPr>
          <w:lang w:val="uk-UA"/>
        </w:rPr>
      </w:pPr>
    </w:p>
    <w:sectPr w:rsidR="00263C4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B6" w:rsidRDefault="008467B6">
      <w:r>
        <w:separator/>
      </w:r>
    </w:p>
  </w:endnote>
  <w:endnote w:type="continuationSeparator" w:id="0">
    <w:p w:rsidR="008467B6" w:rsidRDefault="0084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B6" w:rsidRDefault="008467B6">
      <w:r>
        <w:rPr>
          <w:color w:val="000000"/>
        </w:rPr>
        <w:ptab w:relativeTo="margin" w:alignment="center" w:leader="none"/>
      </w:r>
    </w:p>
  </w:footnote>
  <w:footnote w:type="continuationSeparator" w:id="0">
    <w:p w:rsidR="008467B6" w:rsidRDefault="0084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63C49"/>
    <w:rsid w:val="00263C49"/>
    <w:rsid w:val="00435189"/>
    <w:rsid w:val="008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21D9B-9D80-4576-963D-B4EE4EC6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2018-01-22T15:51:00Z</cp:lastPrinted>
  <dcterms:created xsi:type="dcterms:W3CDTF">2018-02-26T14:41:00Z</dcterms:created>
  <dcterms:modified xsi:type="dcterms:W3CDTF">2018-02-26T14:41:00Z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