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D4" w:rsidRDefault="001B7CD4" w:rsidP="001B7CD4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1B7CD4" w:rsidRPr="001B7CD4" w:rsidRDefault="001B7CD4" w:rsidP="001B7CD4">
      <w:pPr>
        <w:pStyle w:val="11"/>
        <w:keepNext w:val="0"/>
        <w:widowControl/>
        <w:rPr>
          <w:szCs w:val="28"/>
        </w:rPr>
      </w:pPr>
      <w:r>
        <w:rPr>
          <w:szCs w:val="24"/>
          <w:lang w:val="ru-RU"/>
        </w:rPr>
        <w:t>ВИКОНАВЧИЙ КОМ</w:t>
      </w:r>
      <w:r>
        <w:rPr>
          <w:szCs w:val="24"/>
        </w:rPr>
        <w:t>ІТЕТ</w:t>
      </w:r>
    </w:p>
    <w:p w:rsidR="001B7CD4" w:rsidRDefault="001B7CD4" w:rsidP="001B7CD4">
      <w:pPr>
        <w:jc w:val="both"/>
        <w:rPr>
          <w:b/>
          <w:shd w:val="clear" w:color="auto" w:fill="00FF00"/>
          <w:lang w:val="uk-UA"/>
        </w:rPr>
      </w:pPr>
    </w:p>
    <w:p w:rsidR="001B7CD4" w:rsidRPr="00832BFF" w:rsidRDefault="001B7CD4" w:rsidP="001B7CD4">
      <w:pPr>
        <w:pStyle w:val="11"/>
        <w:widowControl/>
        <w:rPr>
          <w:szCs w:val="24"/>
          <w:lang w:val="ru-RU"/>
        </w:rPr>
      </w:pPr>
      <w:r>
        <w:rPr>
          <w:szCs w:val="24"/>
        </w:rPr>
        <w:t xml:space="preserve">РІШЕННЯ №  </w:t>
      </w:r>
      <w:r w:rsidR="00832BFF">
        <w:rPr>
          <w:szCs w:val="24"/>
          <w:lang w:val="ru-RU"/>
        </w:rPr>
        <w:t>224</w:t>
      </w:r>
    </w:p>
    <w:p w:rsidR="001B7CD4" w:rsidRDefault="00832BFF" w:rsidP="001B7CD4">
      <w:pPr>
        <w:jc w:val="both"/>
        <w:rPr>
          <w:lang w:val="uk-UA"/>
        </w:rPr>
      </w:pPr>
      <w:r>
        <w:rPr>
          <w:lang w:val="uk-UA"/>
        </w:rPr>
        <w:t>“ 05</w:t>
      </w:r>
      <w:r w:rsidR="001B7CD4">
        <w:rPr>
          <w:lang w:val="uk-UA"/>
        </w:rPr>
        <w:t xml:space="preserve"> ” квітня 2017 року</w:t>
      </w:r>
    </w:p>
    <w:p w:rsidR="001B7CD4" w:rsidRDefault="001B7CD4" w:rsidP="001B7CD4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1B7CD4" w:rsidRDefault="001B7CD4" w:rsidP="001B7CD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визначення розміру кошторисної </w:t>
      </w:r>
    </w:p>
    <w:p w:rsidR="001B7CD4" w:rsidRDefault="001B7CD4" w:rsidP="001B7CD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заробітної плати, який враховується </w:t>
      </w:r>
    </w:p>
    <w:p w:rsidR="001B7CD4" w:rsidRDefault="001B7CD4" w:rsidP="001B7CD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при визначенні вартості будівництва </w:t>
      </w:r>
    </w:p>
    <w:p w:rsidR="001B7CD4" w:rsidRDefault="001B7CD4" w:rsidP="001B7CD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об’єктів за рахунок коштів бюджету </w:t>
      </w:r>
    </w:p>
    <w:p w:rsidR="001B7CD4" w:rsidRDefault="001B7CD4" w:rsidP="001B7CD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міста та коштів підприємств, установ </w:t>
      </w:r>
    </w:p>
    <w:p w:rsidR="001B7CD4" w:rsidRDefault="001B7CD4" w:rsidP="001B7CD4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та організацій, що належать до </w:t>
      </w:r>
    </w:p>
    <w:p w:rsidR="001B7CD4" w:rsidRDefault="001B7CD4" w:rsidP="001B7CD4">
      <w:pPr>
        <w:rPr>
          <w:bCs/>
          <w:iCs/>
          <w:lang w:val="uk-UA"/>
        </w:rPr>
      </w:pPr>
      <w:r>
        <w:rPr>
          <w:bCs/>
          <w:iCs/>
          <w:lang w:val="uk-UA"/>
        </w:rPr>
        <w:t>комунальної власності міста</w:t>
      </w:r>
    </w:p>
    <w:p w:rsidR="001B7CD4" w:rsidRDefault="001B7CD4" w:rsidP="001B7CD4">
      <w:pPr>
        <w:rPr>
          <w:bCs/>
          <w:iCs/>
          <w:lang w:val="uk-UA"/>
        </w:rPr>
      </w:pPr>
    </w:p>
    <w:p w:rsidR="001B7CD4" w:rsidRDefault="001B7CD4" w:rsidP="001B7CD4">
      <w:pPr>
        <w:ind w:right="4820"/>
        <w:jc w:val="both"/>
        <w:rPr>
          <w:b/>
          <w:bCs/>
          <w:iCs/>
          <w:lang w:val="uk-UA"/>
        </w:rPr>
      </w:pPr>
    </w:p>
    <w:p w:rsidR="001B7CD4" w:rsidRPr="003F5F9D" w:rsidRDefault="001B7CD4" w:rsidP="001B7CD4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</w:t>
      </w:r>
      <w:r>
        <w:rPr>
          <w:lang w:val="uk-UA"/>
        </w:rPr>
        <w:t>ст. ст. 28,59 Закону України «Про місцеве самоврядування в Україні», листом Міністерства регіонального розвитку, будівництва та житлово-комунального господарства України № 7/15-3463 від 03.04.2017р., з метою вирішення питання щодо визначення розміру кошторисної заробітної плати, який враховується при призначенні вартості будівництва (нового будівництва, реконструкції, реставрації, капітального ремонту, технічного переоснащення та поточного ремонту</w:t>
      </w:r>
      <w:r w:rsidR="00F14459">
        <w:rPr>
          <w:lang w:val="uk-UA"/>
        </w:rPr>
        <w:t>)</w:t>
      </w:r>
      <w:r>
        <w:rPr>
          <w:lang w:val="uk-UA"/>
        </w:rPr>
        <w:t xml:space="preserve"> об’єктів, що споруджуються із залученням коштів бюджету міста, коштів підприємств, установ та організацій, що належать до комунальної власності міста, своєчасного перерахунку проектно-кошторисної документації, проведення публічних </w:t>
      </w:r>
      <w:proofErr w:type="spellStart"/>
      <w:r>
        <w:rPr>
          <w:lang w:val="uk-UA"/>
        </w:rPr>
        <w:t>закупівель</w:t>
      </w:r>
      <w:proofErr w:type="spellEnd"/>
      <w:r>
        <w:rPr>
          <w:lang w:val="uk-UA"/>
        </w:rPr>
        <w:t xml:space="preserve">, виконавчий комітет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</w:p>
    <w:p w:rsidR="001B7CD4" w:rsidRDefault="001B7CD4" w:rsidP="001B7CD4">
      <w:pPr>
        <w:jc w:val="both"/>
        <w:rPr>
          <w:shd w:val="clear" w:color="auto" w:fill="00FF00"/>
          <w:lang w:val="uk-UA"/>
        </w:rPr>
      </w:pPr>
    </w:p>
    <w:p w:rsidR="001B7CD4" w:rsidRDefault="001B7CD4" w:rsidP="001B7C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1B7CD4" w:rsidRDefault="001B7CD4" w:rsidP="001B7CD4">
      <w:pPr>
        <w:ind w:firstLine="708"/>
        <w:jc w:val="both"/>
        <w:rPr>
          <w:b/>
          <w:lang w:val="uk-UA"/>
        </w:rPr>
      </w:pPr>
    </w:p>
    <w:p w:rsidR="00F14459" w:rsidRDefault="001B7CD4" w:rsidP="00F14459">
      <w:pPr>
        <w:jc w:val="both"/>
        <w:rPr>
          <w:lang w:val="uk-UA"/>
        </w:rPr>
      </w:pPr>
      <w:r>
        <w:rPr>
          <w:lang w:val="uk-UA"/>
        </w:rPr>
        <w:tab/>
        <w:t xml:space="preserve">1.Встановити розмір кошторисної </w:t>
      </w:r>
      <w:r w:rsidR="00F14459">
        <w:rPr>
          <w:lang w:val="uk-UA"/>
        </w:rPr>
        <w:t>заробітної</w:t>
      </w:r>
      <w:r>
        <w:rPr>
          <w:lang w:val="uk-UA"/>
        </w:rPr>
        <w:t xml:space="preserve"> плати, який враховується при в</w:t>
      </w:r>
      <w:r w:rsidR="00F14459">
        <w:rPr>
          <w:lang w:val="uk-UA"/>
        </w:rPr>
        <w:t>изначенні вартості будівництва (</w:t>
      </w:r>
      <w:r>
        <w:rPr>
          <w:lang w:val="uk-UA"/>
        </w:rPr>
        <w:t xml:space="preserve">нового </w:t>
      </w:r>
      <w:r w:rsidR="00F14459">
        <w:rPr>
          <w:lang w:val="uk-UA"/>
        </w:rPr>
        <w:t>будівництва</w:t>
      </w:r>
      <w:r>
        <w:rPr>
          <w:lang w:val="uk-UA"/>
        </w:rPr>
        <w:t>, реконструкції, реставрації, капітального ремонту, технічного переоснащення та поточного ремонту</w:t>
      </w:r>
      <w:r w:rsidR="00F14459">
        <w:rPr>
          <w:lang w:val="uk-UA"/>
        </w:rPr>
        <w:t>)</w:t>
      </w:r>
      <w:r>
        <w:rPr>
          <w:lang w:val="uk-UA"/>
        </w:rPr>
        <w:t xml:space="preserve"> </w:t>
      </w:r>
      <w:r w:rsidR="00F14459">
        <w:rPr>
          <w:lang w:val="uk-UA"/>
        </w:rPr>
        <w:t>об’єктів</w:t>
      </w:r>
      <w:r>
        <w:rPr>
          <w:lang w:val="uk-UA"/>
        </w:rPr>
        <w:t>,</w:t>
      </w:r>
      <w:r w:rsidR="00F14459">
        <w:rPr>
          <w:lang w:val="uk-UA"/>
        </w:rPr>
        <w:t xml:space="preserve"> що споруджуються із залученням коштів бюджету міста, коштів підприємств, установ та організацій, що належать до комунальної власності міста у розмірі 5 200,0 грн.</w:t>
      </w:r>
    </w:p>
    <w:p w:rsidR="00F14459" w:rsidRDefault="00F14459" w:rsidP="00F144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="001B7CD4">
        <w:rPr>
          <w:lang w:val="uk-UA"/>
        </w:rPr>
        <w:t>2.</w:t>
      </w:r>
      <w:r>
        <w:rPr>
          <w:lang w:val="uk-UA"/>
        </w:rPr>
        <w:t xml:space="preserve">Затвердити дане рішення на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ради.</w:t>
      </w:r>
    </w:p>
    <w:p w:rsidR="00F14459" w:rsidRDefault="00F14459" w:rsidP="00F144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3.Дане рішення підлягає оприлюдненню.</w:t>
      </w:r>
    </w:p>
    <w:p w:rsidR="001B7CD4" w:rsidRPr="00673F78" w:rsidRDefault="001B7CD4" w:rsidP="001B7C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4.Контроль за виконанням </w:t>
      </w:r>
      <w:r w:rsidR="00F14459">
        <w:rPr>
          <w:lang w:val="uk-UA"/>
        </w:rPr>
        <w:t xml:space="preserve">цього рішення покласти на міського голову </w:t>
      </w:r>
      <w:proofErr w:type="spellStart"/>
      <w:r w:rsidR="00F14459">
        <w:rPr>
          <w:lang w:val="uk-UA"/>
        </w:rPr>
        <w:t>Казакова</w:t>
      </w:r>
      <w:proofErr w:type="spellEnd"/>
      <w:r w:rsidR="00F14459">
        <w:rPr>
          <w:lang w:val="uk-UA"/>
        </w:rPr>
        <w:t xml:space="preserve"> В.В.</w:t>
      </w:r>
    </w:p>
    <w:p w:rsidR="001B7CD4" w:rsidRPr="00673F78" w:rsidRDefault="001B7CD4" w:rsidP="001B7CD4">
      <w:pPr>
        <w:tabs>
          <w:tab w:val="left" w:pos="720"/>
        </w:tabs>
        <w:jc w:val="both"/>
        <w:rPr>
          <w:lang w:val="uk-UA"/>
        </w:rPr>
      </w:pPr>
    </w:p>
    <w:p w:rsidR="00832BFF" w:rsidRDefault="00832BFF" w:rsidP="001B7CD4">
      <w:pPr>
        <w:rPr>
          <w:b/>
          <w:lang w:val="uk-UA"/>
        </w:rPr>
      </w:pPr>
    </w:p>
    <w:p w:rsidR="00832BFF" w:rsidRDefault="00832BFF" w:rsidP="001B7CD4">
      <w:pPr>
        <w:rPr>
          <w:b/>
          <w:lang w:val="uk-UA"/>
        </w:rPr>
      </w:pPr>
    </w:p>
    <w:p w:rsidR="001B7CD4" w:rsidRPr="00314C7A" w:rsidRDefault="001B7CD4" w:rsidP="001B7CD4">
      <w:pPr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</w:t>
      </w:r>
      <w:proofErr w:type="spellStart"/>
      <w:r>
        <w:rPr>
          <w:b/>
          <w:lang w:val="uk-UA"/>
        </w:rPr>
        <w:t>В.В.Казаков</w:t>
      </w:r>
      <w:proofErr w:type="spellEnd"/>
    </w:p>
    <w:p w:rsidR="001B7CD4" w:rsidRPr="00F14459" w:rsidRDefault="001B7CD4" w:rsidP="00F14459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Default="001B7CD4" w:rsidP="001B7CD4"/>
    <w:p w:rsidR="001B7CD4" w:rsidRPr="00BB5D92" w:rsidRDefault="001B7CD4" w:rsidP="001B7CD4">
      <w:pPr>
        <w:rPr>
          <w:lang w:val="uk-UA"/>
        </w:rPr>
      </w:pPr>
    </w:p>
    <w:p w:rsidR="001B7CD4" w:rsidRPr="00444F00" w:rsidRDefault="001B7CD4" w:rsidP="001B7CD4">
      <w:pPr>
        <w:rPr>
          <w:lang w:val="uk-UA"/>
        </w:rPr>
      </w:pPr>
    </w:p>
    <w:p w:rsidR="00BB5449" w:rsidRPr="001B7CD4" w:rsidRDefault="00BB5449">
      <w:pPr>
        <w:rPr>
          <w:lang w:val="uk-UA"/>
        </w:rPr>
      </w:pPr>
    </w:p>
    <w:sectPr w:rsidR="00BB5449" w:rsidRPr="001B7CD4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D4"/>
    <w:rsid w:val="001B7CD4"/>
    <w:rsid w:val="002842F4"/>
    <w:rsid w:val="00832BFF"/>
    <w:rsid w:val="00BB5449"/>
    <w:rsid w:val="00F1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10AD"/>
  <w15:chartTrackingRefBased/>
  <w15:docId w15:val="{534BB87F-1C01-4F16-AAEA-252A87D7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1B7CD4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842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2F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2017-04-06T07:57:00Z</cp:lastPrinted>
  <dcterms:created xsi:type="dcterms:W3CDTF">2017-04-05T05:27:00Z</dcterms:created>
  <dcterms:modified xsi:type="dcterms:W3CDTF">2017-04-06T07:57:00Z</dcterms:modified>
</cp:coreProperties>
</file>