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  <w:r w:rsidR="007C75D0">
        <w:rPr>
          <w:b/>
          <w:spacing w:val="20"/>
          <w:szCs w:val="28"/>
        </w:rPr>
        <w:t xml:space="preserve"> 241</w:t>
      </w:r>
    </w:p>
    <w:p w:rsidR="00F63539" w:rsidRPr="00CC148B" w:rsidRDefault="007C75D0" w:rsidP="00F63539">
      <w:pPr>
        <w:jc w:val="both"/>
        <w:rPr>
          <w:szCs w:val="24"/>
        </w:rPr>
      </w:pPr>
      <w:r>
        <w:rPr>
          <w:szCs w:val="24"/>
        </w:rPr>
        <w:t>17</w:t>
      </w:r>
      <w:r w:rsidR="001C1768" w:rsidRPr="00CC148B">
        <w:rPr>
          <w:szCs w:val="24"/>
        </w:rPr>
        <w:t xml:space="preserve"> </w:t>
      </w:r>
      <w:r w:rsidR="00156F5C">
        <w:rPr>
          <w:szCs w:val="24"/>
        </w:rPr>
        <w:t>трав</w:t>
      </w:r>
      <w:r w:rsidR="001F18D4">
        <w:rPr>
          <w:szCs w:val="24"/>
        </w:rPr>
        <w:t>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1F18D4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1F18D4" w:rsidRPr="001F18D4">
        <w:t xml:space="preserve">«Про затвердження </w:t>
      </w:r>
      <w:r w:rsidR="00156F5C">
        <w:t xml:space="preserve">ставок орендної плати за </w:t>
      </w:r>
      <w:r w:rsidR="007C75D0">
        <w:t>земельні ділянки</w:t>
      </w:r>
      <w:r w:rsidR="00156F5C">
        <w:t xml:space="preserve"> на території</w:t>
      </w:r>
      <w:r w:rsidR="001F18D4" w:rsidRPr="001F18D4">
        <w:t xml:space="preserve"> </w:t>
      </w:r>
      <w:proofErr w:type="spellStart"/>
      <w:r w:rsidR="001F18D4" w:rsidRPr="001F18D4">
        <w:t>Сєвєродонецької</w:t>
      </w:r>
      <w:proofErr w:type="spellEnd"/>
      <w:r w:rsidR="001F18D4" w:rsidRPr="001F18D4">
        <w:t xml:space="preserve"> міської ради»</w:t>
      </w:r>
      <w:r w:rsidR="001F18D4">
        <w:t xml:space="preserve">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Pr="00CC148B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3AF4" w:rsidRPr="00CC148B" w:rsidRDefault="00075A77" w:rsidP="00144B89">
      <w:pPr>
        <w:pStyle w:val="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217607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  <w:r w:rsidR="00AF3AF4" w:rsidRPr="00CC1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F4" w:rsidRPr="00156F5C" w:rsidRDefault="00AF3AF4" w:rsidP="00AF3AF4">
      <w:pPr>
        <w:jc w:val="both"/>
      </w:pPr>
    </w:p>
    <w:p w:rsidR="00AF3AF4" w:rsidRPr="00156F5C" w:rsidRDefault="00AF3AF4" w:rsidP="00AF3AF4">
      <w:pPr>
        <w:jc w:val="both"/>
      </w:pPr>
    </w:p>
    <w:p w:rsidR="006C7C3E" w:rsidRPr="00156F5C" w:rsidRDefault="006C7C3E" w:rsidP="00AF3AF4">
      <w:pPr>
        <w:jc w:val="both"/>
      </w:pPr>
    </w:p>
    <w:p w:rsidR="00184388" w:rsidRPr="00156F5C" w:rsidRDefault="00184388" w:rsidP="00AF3AF4">
      <w:pPr>
        <w:jc w:val="both"/>
      </w:pPr>
    </w:p>
    <w:p w:rsidR="006C7C3E" w:rsidRPr="00EC0951" w:rsidRDefault="00C31FE7" w:rsidP="00AF3AF4">
      <w:pPr>
        <w:jc w:val="both"/>
      </w:pPr>
      <w:r w:rsidRPr="00EC0951">
        <w:br w:type="page"/>
      </w:r>
    </w:p>
    <w:p w:rsidR="004A2575" w:rsidRPr="00EC0951" w:rsidRDefault="004A2575" w:rsidP="004A2575">
      <w:pPr>
        <w:ind w:left="4902" w:firstLine="708"/>
        <w:jc w:val="both"/>
      </w:pPr>
      <w:r w:rsidRPr="00EC0951">
        <w:lastRenderedPageBreak/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 xml:space="preserve">від </w:t>
      </w:r>
      <w:r w:rsidR="007C75D0">
        <w:t>17</w:t>
      </w:r>
      <w:r w:rsidRPr="00CC148B">
        <w:t xml:space="preserve"> </w:t>
      </w:r>
      <w:r w:rsidR="00156F5C">
        <w:t>трав</w:t>
      </w:r>
      <w:r w:rsidR="001F18D4">
        <w:t xml:space="preserve">ня </w:t>
      </w:r>
      <w:r w:rsidRPr="00CC148B">
        <w:t>201</w:t>
      </w:r>
      <w:r w:rsidR="00260294">
        <w:t>6</w:t>
      </w:r>
      <w:r w:rsidRPr="00CC148B">
        <w:t>р. №</w:t>
      </w:r>
      <w:r w:rsidR="007C75D0">
        <w:t xml:space="preserve">  241</w:t>
      </w:r>
      <w:r w:rsidR="001F18D4">
        <w:t xml:space="preserve"> 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2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268"/>
        <w:gridCol w:w="3119"/>
        <w:gridCol w:w="1386"/>
        <w:gridCol w:w="1615"/>
      </w:tblGrid>
      <w:tr w:rsidR="004A2575" w:rsidRPr="00CC148B" w:rsidTr="00A324D7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26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386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A324D7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386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61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A324D7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CC148B">
              <w:rPr>
                <w:szCs w:val="24"/>
              </w:rPr>
              <w:t xml:space="preserve">сесії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268" w:type="dxa"/>
            <w:vAlign w:val="center"/>
          </w:tcPr>
          <w:p w:rsidR="004A2575" w:rsidRPr="001F18D4" w:rsidRDefault="001F18D4" w:rsidP="007C75D0">
            <w:pPr>
              <w:jc w:val="center"/>
            </w:pPr>
            <w:r w:rsidRPr="001F18D4">
              <w:t xml:space="preserve">«Про затвердження </w:t>
            </w:r>
            <w:r w:rsidR="00156F5C">
              <w:t xml:space="preserve">ставок орендної плати за </w:t>
            </w:r>
            <w:r w:rsidR="007C75D0">
              <w:t>земельні ділянки</w:t>
            </w:r>
            <w:r w:rsidR="00156F5C">
              <w:t xml:space="preserve"> на території</w:t>
            </w:r>
            <w:r w:rsidR="00156F5C" w:rsidRPr="001F18D4">
              <w:t xml:space="preserve"> </w:t>
            </w:r>
            <w:proofErr w:type="spellStart"/>
            <w:r w:rsidRPr="001F18D4">
              <w:t>Сєвєродонецької</w:t>
            </w:r>
            <w:proofErr w:type="spellEnd"/>
            <w:r w:rsidRPr="001F18D4">
              <w:t xml:space="preserve"> міської ради»</w:t>
            </w:r>
            <w:r w:rsidRPr="00D34E59">
              <w:t xml:space="preserve"> </w:t>
            </w:r>
          </w:p>
        </w:tc>
        <w:tc>
          <w:tcPr>
            <w:tcW w:w="3119" w:type="dxa"/>
            <w:vAlign w:val="center"/>
          </w:tcPr>
          <w:p w:rsidR="004A2575" w:rsidRPr="00CC148B" w:rsidRDefault="00E4084C" w:rsidP="001F18D4">
            <w:pPr>
              <w:jc w:val="center"/>
              <w:rPr>
                <w:szCs w:val="24"/>
                <w:highlight w:val="yellow"/>
              </w:rPr>
            </w:pPr>
            <w:r w:rsidRPr="00E4084C">
              <w:rPr>
                <w:szCs w:val="24"/>
              </w:rPr>
              <w:t xml:space="preserve">Врегулювання земельних відносин на території </w:t>
            </w:r>
            <w:proofErr w:type="spellStart"/>
            <w:r w:rsidRPr="00E4084C">
              <w:rPr>
                <w:szCs w:val="24"/>
              </w:rPr>
              <w:t>Сєвєродонецької</w:t>
            </w:r>
            <w:proofErr w:type="spellEnd"/>
            <w:r w:rsidRPr="00E4084C">
              <w:rPr>
                <w:szCs w:val="24"/>
              </w:rPr>
              <w:t xml:space="preserve"> міської ради</w:t>
            </w:r>
          </w:p>
        </w:tc>
        <w:tc>
          <w:tcPr>
            <w:tcW w:w="1386" w:type="dxa"/>
            <w:vAlign w:val="center"/>
          </w:tcPr>
          <w:p w:rsidR="004A2575" w:rsidRPr="00CC148B" w:rsidRDefault="006C7C3E" w:rsidP="00D34E59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615" w:type="dxa"/>
            <w:vAlign w:val="center"/>
          </w:tcPr>
          <w:p w:rsidR="004A2575" w:rsidRPr="00CC148B" w:rsidRDefault="00156F5C" w:rsidP="00C31FE7">
            <w:pPr>
              <w:ind w:left="-108" w:right="-89"/>
              <w:jc w:val="center"/>
              <w:rPr>
                <w:szCs w:val="24"/>
              </w:rPr>
            </w:pPr>
            <w:r>
              <w:rPr>
                <w:szCs w:val="24"/>
              </w:rPr>
              <w:t>Відділ земельних відносин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p w:rsidR="006C7C3E" w:rsidRPr="00CC148B" w:rsidRDefault="00156F5C" w:rsidP="00156F5C">
      <w:pPr>
        <w:spacing w:line="360" w:lineRule="auto"/>
        <w:jc w:val="both"/>
      </w:pPr>
      <w:r w:rsidRPr="00156F5C">
        <w:rPr>
          <w:b/>
        </w:rPr>
        <w:t xml:space="preserve">Керуючий справами виконкому </w:t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  <w:t>Ю.А.Журба</w:t>
      </w: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56F5C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18D4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60294"/>
    <w:rsid w:val="002710A8"/>
    <w:rsid w:val="002867C8"/>
    <w:rsid w:val="002B6CF8"/>
    <w:rsid w:val="002B78F8"/>
    <w:rsid w:val="002C46D4"/>
    <w:rsid w:val="002D0A75"/>
    <w:rsid w:val="002D29F3"/>
    <w:rsid w:val="002D34F6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C75D0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1C45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2C6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3927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2711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4084C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1915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361D"/>
    <w:rsid w:val="00F95AAB"/>
    <w:rsid w:val="00FA3A6B"/>
    <w:rsid w:val="00FB0A91"/>
    <w:rsid w:val="00FB3DDD"/>
    <w:rsid w:val="00FB4AC8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userZdj933</cp:lastModifiedBy>
  <cp:revision>3</cp:revision>
  <cp:lastPrinted>2016-03-02T12:49:00Z</cp:lastPrinted>
  <dcterms:created xsi:type="dcterms:W3CDTF">2016-05-18T08:13:00Z</dcterms:created>
  <dcterms:modified xsi:type="dcterms:W3CDTF">2016-05-18T08:14:00Z</dcterms:modified>
</cp:coreProperties>
</file>