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62" w:rsidRPr="000B794F" w:rsidRDefault="00134462" w:rsidP="00517AD2">
      <w:pPr>
        <w:jc w:val="right"/>
        <w:rPr>
          <w:b/>
          <w:bCs/>
          <w:sz w:val="24"/>
          <w:szCs w:val="24"/>
        </w:rPr>
      </w:pPr>
      <w:r w:rsidRPr="000B794F">
        <w:rPr>
          <w:b/>
          <w:bCs/>
          <w:sz w:val="24"/>
          <w:szCs w:val="24"/>
        </w:rPr>
        <w:t>Додаток 3</w:t>
      </w:r>
    </w:p>
    <w:p w:rsidR="00134462" w:rsidRPr="000B794F" w:rsidRDefault="00134462" w:rsidP="00517AD2">
      <w:pPr>
        <w:jc w:val="right"/>
        <w:rPr>
          <w:b/>
          <w:bCs/>
          <w:sz w:val="24"/>
          <w:szCs w:val="24"/>
        </w:rPr>
      </w:pPr>
    </w:p>
    <w:p w:rsidR="00134462" w:rsidRPr="000B794F" w:rsidRDefault="00134462" w:rsidP="00517AD2">
      <w:pPr>
        <w:tabs>
          <w:tab w:val="left" w:pos="0"/>
        </w:tabs>
        <w:spacing w:after="60"/>
        <w:ind w:firstLine="720"/>
        <w:jc w:val="center"/>
        <w:rPr>
          <w:rStyle w:val="a5"/>
          <w:b/>
          <w:bCs/>
          <w:color w:val="auto"/>
          <w:sz w:val="24"/>
          <w:szCs w:val="24"/>
          <w:u w:val="none"/>
        </w:rPr>
      </w:pPr>
      <w:r w:rsidRPr="000B794F">
        <w:rPr>
          <w:rStyle w:val="a5"/>
          <w:b/>
          <w:bCs/>
          <w:color w:val="auto"/>
          <w:sz w:val="24"/>
          <w:szCs w:val="24"/>
          <w:u w:val="none"/>
        </w:rPr>
        <w:t>ПЕРЕЛІК ПРІОРИТЕТНИХ ПРОЕКТІВ СОЦІАЛЬНО-ЕКОНОМІЧНОГО РОЗВИТКУ СЄВЄРОДОНЕЦЬКОЇ МІСЬКОЇ РАДИ</w:t>
      </w:r>
    </w:p>
    <w:p w:rsidR="00134462" w:rsidRPr="000B794F" w:rsidRDefault="00134462" w:rsidP="00517AD2">
      <w:pPr>
        <w:tabs>
          <w:tab w:val="left" w:pos="0"/>
        </w:tabs>
        <w:spacing w:after="60"/>
        <w:ind w:firstLine="720"/>
        <w:jc w:val="center"/>
        <w:rPr>
          <w:b/>
          <w:bCs/>
          <w:sz w:val="24"/>
          <w:szCs w:val="24"/>
        </w:rPr>
      </w:pPr>
    </w:p>
    <w:tbl>
      <w:tblPr>
        <w:tblW w:w="10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4425"/>
        <w:gridCol w:w="1373"/>
        <w:gridCol w:w="1378"/>
        <w:gridCol w:w="1181"/>
        <w:gridCol w:w="1236"/>
      </w:tblGrid>
      <w:tr w:rsidR="00813BED" w:rsidRPr="000B794F" w:rsidTr="003321AB">
        <w:trPr>
          <w:trHeight w:val="179"/>
        </w:trPr>
        <w:tc>
          <w:tcPr>
            <w:tcW w:w="467" w:type="dxa"/>
            <w:vMerge w:val="restart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5" w:type="dxa"/>
            <w:vMerge w:val="restart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Назва проекту</w:t>
            </w:r>
          </w:p>
        </w:tc>
        <w:tc>
          <w:tcPr>
            <w:tcW w:w="5168" w:type="dxa"/>
            <w:gridSpan w:val="4"/>
            <w:vAlign w:val="center"/>
          </w:tcPr>
          <w:p w:rsidR="00813BED" w:rsidRPr="000B794F" w:rsidRDefault="003321AB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, тис. грн.</w:t>
            </w:r>
          </w:p>
        </w:tc>
      </w:tr>
      <w:tr w:rsidR="00813BED" w:rsidRPr="000B794F" w:rsidTr="003321AB">
        <w:trPr>
          <w:trHeight w:val="288"/>
        </w:trPr>
        <w:tc>
          <w:tcPr>
            <w:tcW w:w="467" w:type="dxa"/>
            <w:vMerge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795" w:type="dxa"/>
            <w:gridSpan w:val="3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813BED" w:rsidRPr="000B794F" w:rsidTr="003321AB">
        <w:trPr>
          <w:trHeight w:val="288"/>
        </w:trPr>
        <w:tc>
          <w:tcPr>
            <w:tcW w:w="467" w:type="dxa"/>
            <w:vMerge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Інші кошти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2664A">
            <w:pPr>
              <w:pStyle w:val="1"/>
              <w:rPr>
                <w:sz w:val="24"/>
                <w:szCs w:val="24"/>
                <w:lang w:val="uk-UA" w:eastAsia="uk-UA"/>
              </w:rPr>
            </w:pPr>
            <w:r w:rsidRPr="000B794F">
              <w:rPr>
                <w:sz w:val="24"/>
                <w:szCs w:val="24"/>
                <w:lang w:val="uk-UA" w:eastAsia="uk-UA"/>
              </w:rPr>
              <w:t xml:space="preserve">«Капітальний ремонт автодорожнього мосту через річку Сіверський Донець» </w:t>
            </w:r>
            <w:r>
              <w:rPr>
                <w:sz w:val="24"/>
                <w:szCs w:val="24"/>
                <w:lang w:val="uk-UA" w:eastAsia="uk-UA"/>
              </w:rPr>
              <w:t>(</w:t>
            </w:r>
            <w:r w:rsidRPr="000B794F">
              <w:rPr>
                <w:sz w:val="24"/>
                <w:szCs w:val="24"/>
                <w:lang w:val="uk-UA" w:eastAsia="uk-UA"/>
              </w:rPr>
              <w:t>Грант ЄС</w:t>
            </w:r>
            <w:r>
              <w:rPr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38386,56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2508,40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35878,16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2664A">
            <w:pPr>
              <w:pStyle w:val="1"/>
              <w:rPr>
                <w:sz w:val="24"/>
                <w:szCs w:val="24"/>
                <w:lang w:val="uk-UA" w:eastAsia="uk-UA"/>
              </w:rPr>
            </w:pPr>
            <w:r w:rsidRPr="000B794F">
              <w:rPr>
                <w:sz w:val="24"/>
                <w:szCs w:val="24"/>
                <w:lang w:val="uk-UA" w:eastAsia="uk-UA"/>
              </w:rPr>
              <w:t>«Модернізація системи теплопостачання об’єктів 81 мікрорайону» в рамках фінансової програми «ДЕМО–УКРАЇНА ЦТ» (отримання кредитних ресурсів від НЕФКО)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20448,35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3512,60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16935,75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 xml:space="preserve">«Модернізація з метою підвищення </w:t>
            </w:r>
            <w:proofErr w:type="spellStart"/>
            <w:r w:rsidRPr="000B794F">
              <w:rPr>
                <w:sz w:val="24"/>
                <w:szCs w:val="24"/>
              </w:rPr>
              <w:t>енергоефективності</w:t>
            </w:r>
            <w:proofErr w:type="spellEnd"/>
            <w:r w:rsidRPr="000B794F">
              <w:rPr>
                <w:sz w:val="24"/>
                <w:szCs w:val="24"/>
              </w:rPr>
              <w:t xml:space="preserve"> систем централізованого теплопостачання об'єктів 75,76,77 і частини 52 мікрорайонів м. 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Pr="000B794F">
              <w:rPr>
                <w:sz w:val="24"/>
                <w:szCs w:val="24"/>
              </w:rPr>
              <w:t>» (отримання кредитних ресурсів від НЕФКО)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124747,48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24387,48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100360,00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«Місцевий розвиток, орієнтований на громаду» Євросоюз та ПРООН</w:t>
            </w:r>
            <w:r>
              <w:rPr>
                <w:sz w:val="24"/>
                <w:szCs w:val="24"/>
              </w:rPr>
              <w:t xml:space="preserve"> – 7 проектів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2836,14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1276,56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1559,58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813BED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«Комунальний заклад «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Pr="000B794F">
              <w:rPr>
                <w:sz w:val="24"/>
                <w:szCs w:val="24"/>
              </w:rPr>
              <w:t xml:space="preserve"> міська бібліотека для юнацтва ім.</w:t>
            </w:r>
            <w:r w:rsidR="003321AB">
              <w:rPr>
                <w:sz w:val="24"/>
                <w:szCs w:val="24"/>
              </w:rPr>
              <w:t xml:space="preserve"> </w:t>
            </w:r>
            <w:r w:rsidRPr="000B794F">
              <w:rPr>
                <w:sz w:val="24"/>
                <w:szCs w:val="24"/>
              </w:rPr>
              <w:t xml:space="preserve">Й.Б. </w:t>
            </w:r>
            <w:proofErr w:type="spellStart"/>
            <w:r w:rsidRPr="000B794F">
              <w:rPr>
                <w:sz w:val="24"/>
                <w:szCs w:val="24"/>
              </w:rPr>
              <w:t>Курлата</w:t>
            </w:r>
            <w:proofErr w:type="spellEnd"/>
            <w:r w:rsidRPr="000B794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0B794F">
              <w:rPr>
                <w:sz w:val="24"/>
                <w:szCs w:val="24"/>
              </w:rPr>
              <w:t>Представництво Міжнародної організації з міграції</w:t>
            </w:r>
            <w:r>
              <w:rPr>
                <w:sz w:val="24"/>
                <w:szCs w:val="24"/>
              </w:rPr>
              <w:t>)</w:t>
            </w:r>
            <w:r w:rsidRPr="000B79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945,60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945,60</w:t>
            </w:r>
          </w:p>
        </w:tc>
      </w:tr>
      <w:tr w:rsidR="00813BED" w:rsidRPr="000B794F" w:rsidTr="00813BED">
        <w:trPr>
          <w:trHeight w:val="230"/>
        </w:trPr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2664A">
            <w:pPr>
              <w:pStyle w:val="1"/>
              <w:rPr>
                <w:sz w:val="24"/>
                <w:szCs w:val="24"/>
                <w:lang w:val="uk-UA" w:eastAsia="uk-UA"/>
              </w:rPr>
            </w:pPr>
            <w:r w:rsidRPr="000B794F">
              <w:rPr>
                <w:sz w:val="24"/>
                <w:szCs w:val="24"/>
                <w:lang w:val="uk-UA"/>
              </w:rPr>
              <w:t xml:space="preserve">«Автомобільний шляхопровід на вул. Об’їзна» </w:t>
            </w:r>
            <w:r w:rsidR="003321AB">
              <w:rPr>
                <w:sz w:val="24"/>
                <w:szCs w:val="24"/>
                <w:lang w:val="uk-UA"/>
              </w:rPr>
              <w:t>(</w:t>
            </w:r>
            <w:r w:rsidRPr="000B794F">
              <w:rPr>
                <w:sz w:val="24"/>
                <w:szCs w:val="24"/>
                <w:lang w:val="uk-UA"/>
              </w:rPr>
              <w:t>ПРООН</w:t>
            </w:r>
            <w:r w:rsidR="003321A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373" w:type="dxa"/>
            <w:vAlign w:val="center"/>
          </w:tcPr>
          <w:p w:rsidR="00813BED" w:rsidRPr="000B794F" w:rsidRDefault="00813BED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7564,80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7564,80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«Економічне і соціальне відновлення Донбасу» ПРООН  5 проектів</w:t>
            </w:r>
          </w:p>
        </w:tc>
        <w:tc>
          <w:tcPr>
            <w:tcW w:w="1373" w:type="dxa"/>
            <w:vAlign w:val="center"/>
          </w:tcPr>
          <w:p w:rsidR="00813BED" w:rsidRPr="000B794F" w:rsidRDefault="00813BED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412596,99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412596,99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Кредитна програма «Надзвичайна кредитна програма для відновлення України» Європейській інвестиційний банк  17 проектів</w:t>
            </w:r>
          </w:p>
        </w:tc>
        <w:tc>
          <w:tcPr>
            <w:tcW w:w="1373" w:type="dxa"/>
            <w:vAlign w:val="center"/>
          </w:tcPr>
          <w:p w:rsidR="00813BED" w:rsidRPr="000B794F" w:rsidRDefault="00813BED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68319,19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68319,19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B212D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Будівництво повітряної лінії (кабельної) від підстанції «Борівська» до с. Боброве 6 кВт (довжиною 10 км)</w:t>
            </w:r>
            <w:r w:rsidR="00EB212D">
              <w:rPr>
                <w:sz w:val="24"/>
                <w:szCs w:val="24"/>
              </w:rPr>
              <w:t xml:space="preserve"> –</w:t>
            </w:r>
            <w:r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6622,812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5960,531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662,281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Реконструкції системи теплопостачання  мікрорайону МЖК «Мрія»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72783,847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65505,462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7278,385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B212D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Будівництво зовнішнього електропостачання території в районі озера Чисте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1223,704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1101,334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122,370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Благоустрій-скверу  за адресою: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Pr="000B794F">
              <w:rPr>
                <w:sz w:val="24"/>
                <w:szCs w:val="24"/>
              </w:rPr>
              <w:t>, пр. Космонавтів, район будинку № 25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1331,382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1198,244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66,569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66,569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заплавного мосту №1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11800,0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10620,00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1180,00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системи освітлення НВК «Спеціалізована школа-колегіум «Національного університету «Києво-Могилянська академія»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5269,862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4742,877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526,985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5" w:type="dxa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  <w:lang w:eastAsia="uk-UA"/>
              </w:rPr>
            </w:pPr>
            <w:r w:rsidRPr="000B794F">
              <w:rPr>
                <w:sz w:val="24"/>
                <w:szCs w:val="24"/>
              </w:rPr>
              <w:t xml:space="preserve">Капітальний ремонт СЗОШ №15 І-ІІІ ступенів </w:t>
            </w:r>
            <w:proofErr w:type="spellStart"/>
            <w:r w:rsidRPr="000B794F">
              <w:rPr>
                <w:sz w:val="24"/>
                <w:szCs w:val="24"/>
              </w:rPr>
              <w:t>м.Сєвєродонецька</w:t>
            </w:r>
            <w:proofErr w:type="spellEnd"/>
            <w:r w:rsidRPr="000B794F">
              <w:rPr>
                <w:sz w:val="24"/>
                <w:szCs w:val="24"/>
              </w:rPr>
              <w:t xml:space="preserve"> (заміна віконних та дверних блоків»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5" w:type="dxa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  <w:lang w:eastAsia="uk-UA"/>
              </w:rPr>
            </w:pPr>
            <w:r w:rsidRPr="000B794F">
              <w:rPr>
                <w:sz w:val="24"/>
                <w:szCs w:val="24"/>
              </w:rPr>
              <w:t>Капітальний ремонт системи опалення СЗОШ №15 І</w:t>
            </w:r>
            <w:r w:rsidR="003321AB">
              <w:rPr>
                <w:sz w:val="24"/>
                <w:szCs w:val="24"/>
              </w:rPr>
              <w:t>-ІІІ ступенів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="003321AB">
              <w:rPr>
                <w:sz w:val="24"/>
                <w:szCs w:val="24"/>
              </w:rPr>
              <w:t>Сєвєродонецька</w:t>
            </w:r>
            <w:proofErr w:type="spellEnd"/>
            <w:r w:rsidR="003321AB">
              <w:rPr>
                <w:sz w:val="24"/>
                <w:szCs w:val="24"/>
              </w:rPr>
              <w:t>,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9D0E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  <w:r w:rsidR="009D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D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Капітальний ремонт СЗОШ №6 І-ІІІ ступенів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Pr="000B794F">
              <w:rPr>
                <w:sz w:val="24"/>
                <w:szCs w:val="24"/>
              </w:rPr>
              <w:t xml:space="preserve"> (заміна віконних та дверних блоків»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D936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</w:t>
            </w:r>
            <w:r w:rsidR="00D936E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  <w:r w:rsidR="00D936E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899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8</w:t>
            </w:r>
            <w:r w:rsidR="009D0E9F">
              <w:rPr>
                <w:color w:val="000000"/>
                <w:sz w:val="24"/>
                <w:szCs w:val="24"/>
              </w:rPr>
              <w:t>7</w:t>
            </w:r>
            <w:r w:rsidRPr="000B79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99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Капітальний ремонт системи опалення СЗОШ №6 І-ІІІ ступенів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="003321AB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D936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</w:t>
            </w:r>
            <w:r w:rsidR="00D936E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771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85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5" w:type="dxa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  <w:lang w:eastAsia="uk-UA"/>
              </w:rPr>
              <w:t>Проведення капітального ремонту ДНЗ №43</w:t>
            </w:r>
            <w:r w:rsidR="003321AB" w:rsidRPr="000B794F">
              <w:rPr>
                <w:sz w:val="24"/>
                <w:szCs w:val="24"/>
              </w:rPr>
              <w:t xml:space="preserve"> </w:t>
            </w:r>
            <w:r w:rsidR="003321AB">
              <w:rPr>
                <w:sz w:val="24"/>
                <w:szCs w:val="24"/>
              </w:rPr>
              <w:t>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="003321AB">
              <w:rPr>
                <w:sz w:val="24"/>
                <w:szCs w:val="24"/>
              </w:rPr>
              <w:t>Сєвєродонецька</w:t>
            </w:r>
            <w:proofErr w:type="spellEnd"/>
            <w:r w:rsidR="00EB212D">
              <w:rPr>
                <w:sz w:val="24"/>
                <w:szCs w:val="24"/>
                <w:lang w:eastAsia="uk-UA"/>
              </w:rPr>
              <w:t xml:space="preserve"> </w:t>
            </w:r>
            <w:r w:rsidR="00EB212D">
              <w:rPr>
                <w:sz w:val="24"/>
                <w:szCs w:val="24"/>
              </w:rPr>
              <w:t>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10800,0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мереж внутрішнього освітлення КДЮСШ №1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3201,163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2881,047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320,116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мереж внутрішнього освітлення СДЮСТШ ВВС «Садко»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767,62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690,858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76,762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 xml:space="preserve">Реконструкція теплопостачання та водопостачання КДЮСШ № 2 </w:t>
            </w:r>
            <w:proofErr w:type="spellStart"/>
            <w:r w:rsidRPr="000B794F">
              <w:rPr>
                <w:sz w:val="24"/>
                <w:szCs w:val="24"/>
              </w:rPr>
              <w:t>м.Сєвєродонецька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 xml:space="preserve">державний Фонд регіонального розвитку 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1571,905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1414,715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157,190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5" w:type="dxa"/>
            <w:vAlign w:val="bottom"/>
          </w:tcPr>
          <w:p w:rsidR="00813BED" w:rsidRPr="003321AB" w:rsidRDefault="00813BED" w:rsidP="003321AB">
            <w:pPr>
              <w:jc w:val="left"/>
              <w:rPr>
                <w:sz w:val="24"/>
                <w:szCs w:val="24"/>
              </w:rPr>
            </w:pPr>
            <w:r w:rsidRPr="003321AB">
              <w:rPr>
                <w:sz w:val="24"/>
                <w:szCs w:val="24"/>
              </w:rPr>
              <w:t xml:space="preserve">Будівництво водогону </w:t>
            </w:r>
            <w:r w:rsidR="00BC7DA2" w:rsidRPr="003321AB">
              <w:rPr>
                <w:sz w:val="24"/>
                <w:szCs w:val="24"/>
              </w:rPr>
              <w:t>діаметром</w:t>
            </w:r>
            <w:r w:rsidRPr="003321AB">
              <w:rPr>
                <w:sz w:val="24"/>
                <w:szCs w:val="24"/>
              </w:rPr>
              <w:t xml:space="preserve"> 100мм до селищ Павлоград та </w:t>
            </w:r>
            <w:proofErr w:type="spellStart"/>
            <w:r w:rsidRPr="003321AB">
              <w:rPr>
                <w:sz w:val="24"/>
                <w:szCs w:val="24"/>
              </w:rPr>
              <w:t>Синецький</w:t>
            </w:r>
            <w:proofErr w:type="spellEnd"/>
            <w:r w:rsidR="00EB212D" w:rsidRPr="003321AB">
              <w:rPr>
                <w:sz w:val="24"/>
                <w:szCs w:val="24"/>
              </w:rPr>
              <w:t xml:space="preserve"> – 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FD5CCD" w:rsidRDefault="003321AB" w:rsidP="0081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378" w:type="dxa"/>
            <w:vAlign w:val="center"/>
          </w:tcPr>
          <w:p w:rsidR="00813BED" w:rsidRPr="00FD5CCD" w:rsidRDefault="00813BED" w:rsidP="003321AB">
            <w:pPr>
              <w:jc w:val="center"/>
              <w:rPr>
                <w:sz w:val="24"/>
                <w:szCs w:val="24"/>
              </w:rPr>
            </w:pPr>
            <w:r w:rsidRPr="00FD5CCD">
              <w:rPr>
                <w:sz w:val="24"/>
                <w:szCs w:val="24"/>
              </w:rPr>
              <w:t>1620,0</w:t>
            </w:r>
          </w:p>
        </w:tc>
        <w:tc>
          <w:tcPr>
            <w:tcW w:w="1181" w:type="dxa"/>
            <w:vAlign w:val="center"/>
          </w:tcPr>
          <w:p w:rsidR="00813BED" w:rsidRPr="00FD5CCD" w:rsidRDefault="00813BED" w:rsidP="003321AB">
            <w:pPr>
              <w:jc w:val="center"/>
              <w:rPr>
                <w:sz w:val="24"/>
                <w:szCs w:val="24"/>
              </w:rPr>
            </w:pPr>
            <w:r w:rsidRPr="00FD5CCD">
              <w:rPr>
                <w:sz w:val="24"/>
                <w:szCs w:val="24"/>
              </w:rPr>
              <w:t>180,0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5" w:type="dxa"/>
            <w:vAlign w:val="bottom"/>
          </w:tcPr>
          <w:p w:rsidR="00813BED" w:rsidRPr="003321AB" w:rsidRDefault="00813BED" w:rsidP="003321AB">
            <w:pPr>
              <w:jc w:val="left"/>
              <w:rPr>
                <w:sz w:val="24"/>
                <w:szCs w:val="24"/>
              </w:rPr>
            </w:pPr>
            <w:r w:rsidRPr="003321AB">
              <w:rPr>
                <w:sz w:val="24"/>
                <w:szCs w:val="24"/>
              </w:rPr>
              <w:t xml:space="preserve">Реконструкція зливової каналізації по вул. </w:t>
            </w:r>
            <w:proofErr w:type="spellStart"/>
            <w:r w:rsidRPr="003321AB">
              <w:rPr>
                <w:sz w:val="24"/>
                <w:szCs w:val="24"/>
              </w:rPr>
              <w:t>Сметаніна</w:t>
            </w:r>
            <w:proofErr w:type="spellEnd"/>
            <w:r w:rsidRPr="003321AB">
              <w:rPr>
                <w:sz w:val="24"/>
                <w:szCs w:val="24"/>
              </w:rPr>
              <w:t xml:space="preserve"> </w:t>
            </w:r>
            <w:r w:rsidR="00EB212D" w:rsidRPr="003321AB">
              <w:rPr>
                <w:sz w:val="24"/>
                <w:szCs w:val="24"/>
              </w:rPr>
              <w:t>– 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Default="003321AB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9794,003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8814,603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979,400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21AB" w:rsidRPr="000B794F" w:rsidRDefault="003321AB" w:rsidP="003321AB">
      <w:pPr>
        <w:rPr>
          <w:sz w:val="24"/>
          <w:szCs w:val="24"/>
        </w:rPr>
      </w:pPr>
    </w:p>
    <w:sectPr w:rsidR="003321AB" w:rsidRPr="000B794F" w:rsidSect="00917D9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81E"/>
    <w:multiLevelType w:val="hybridMultilevel"/>
    <w:tmpl w:val="9C18BA22"/>
    <w:lvl w:ilvl="0" w:tplc="0422000F">
      <w:start w:val="1"/>
      <w:numFmt w:val="decimal"/>
      <w:lvlText w:val="%1."/>
      <w:lvlJc w:val="left"/>
      <w:pPr>
        <w:ind w:left="1085" w:hanging="360"/>
      </w:pPr>
    </w:lvl>
    <w:lvl w:ilvl="1" w:tplc="04220019">
      <w:start w:val="1"/>
      <w:numFmt w:val="lowerLetter"/>
      <w:lvlText w:val="%2."/>
      <w:lvlJc w:val="left"/>
      <w:pPr>
        <w:ind w:left="1805" w:hanging="360"/>
      </w:pPr>
    </w:lvl>
    <w:lvl w:ilvl="2" w:tplc="0422001B">
      <w:start w:val="1"/>
      <w:numFmt w:val="lowerRoman"/>
      <w:lvlText w:val="%3."/>
      <w:lvlJc w:val="right"/>
      <w:pPr>
        <w:ind w:left="2525" w:hanging="180"/>
      </w:pPr>
    </w:lvl>
    <w:lvl w:ilvl="3" w:tplc="0422000F">
      <w:start w:val="1"/>
      <w:numFmt w:val="decimal"/>
      <w:lvlText w:val="%4."/>
      <w:lvlJc w:val="left"/>
      <w:pPr>
        <w:ind w:left="3245" w:hanging="360"/>
      </w:pPr>
    </w:lvl>
    <w:lvl w:ilvl="4" w:tplc="04220019">
      <w:start w:val="1"/>
      <w:numFmt w:val="lowerLetter"/>
      <w:lvlText w:val="%5."/>
      <w:lvlJc w:val="left"/>
      <w:pPr>
        <w:ind w:left="3965" w:hanging="360"/>
      </w:pPr>
    </w:lvl>
    <w:lvl w:ilvl="5" w:tplc="0422001B">
      <w:start w:val="1"/>
      <w:numFmt w:val="lowerRoman"/>
      <w:lvlText w:val="%6."/>
      <w:lvlJc w:val="right"/>
      <w:pPr>
        <w:ind w:left="4685" w:hanging="180"/>
      </w:pPr>
    </w:lvl>
    <w:lvl w:ilvl="6" w:tplc="0422000F">
      <w:start w:val="1"/>
      <w:numFmt w:val="decimal"/>
      <w:lvlText w:val="%7."/>
      <w:lvlJc w:val="left"/>
      <w:pPr>
        <w:ind w:left="5405" w:hanging="360"/>
      </w:pPr>
    </w:lvl>
    <w:lvl w:ilvl="7" w:tplc="04220019">
      <w:start w:val="1"/>
      <w:numFmt w:val="lowerLetter"/>
      <w:lvlText w:val="%8."/>
      <w:lvlJc w:val="left"/>
      <w:pPr>
        <w:ind w:left="6125" w:hanging="360"/>
      </w:pPr>
    </w:lvl>
    <w:lvl w:ilvl="8" w:tplc="0422001B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6445770E"/>
    <w:multiLevelType w:val="hybridMultilevel"/>
    <w:tmpl w:val="54F014F2"/>
    <w:lvl w:ilvl="0" w:tplc="0422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7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9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3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5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9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D2"/>
    <w:rsid w:val="000121B7"/>
    <w:rsid w:val="00017EF6"/>
    <w:rsid w:val="00045323"/>
    <w:rsid w:val="000543CB"/>
    <w:rsid w:val="00086642"/>
    <w:rsid w:val="000B794F"/>
    <w:rsid w:val="000E76E0"/>
    <w:rsid w:val="00107A99"/>
    <w:rsid w:val="00134462"/>
    <w:rsid w:val="00192813"/>
    <w:rsid w:val="0021267D"/>
    <w:rsid w:val="00220DE9"/>
    <w:rsid w:val="00257497"/>
    <w:rsid w:val="00280756"/>
    <w:rsid w:val="002A223B"/>
    <w:rsid w:val="00305FD6"/>
    <w:rsid w:val="003321AB"/>
    <w:rsid w:val="003B4CA2"/>
    <w:rsid w:val="003C0B74"/>
    <w:rsid w:val="003D5AB8"/>
    <w:rsid w:val="004220E6"/>
    <w:rsid w:val="0043592A"/>
    <w:rsid w:val="00517AD2"/>
    <w:rsid w:val="005812B6"/>
    <w:rsid w:val="005B3D50"/>
    <w:rsid w:val="005B4847"/>
    <w:rsid w:val="00613AD8"/>
    <w:rsid w:val="00684CBB"/>
    <w:rsid w:val="00691DCB"/>
    <w:rsid w:val="006F0645"/>
    <w:rsid w:val="00711D32"/>
    <w:rsid w:val="007A4738"/>
    <w:rsid w:val="00813BED"/>
    <w:rsid w:val="00917D9A"/>
    <w:rsid w:val="00926A16"/>
    <w:rsid w:val="009370CB"/>
    <w:rsid w:val="00937DCB"/>
    <w:rsid w:val="009D0E9F"/>
    <w:rsid w:val="009F7135"/>
    <w:rsid w:val="00A03B53"/>
    <w:rsid w:val="00A053AC"/>
    <w:rsid w:val="00BC7DA2"/>
    <w:rsid w:val="00C20D56"/>
    <w:rsid w:val="00C27379"/>
    <w:rsid w:val="00C53C78"/>
    <w:rsid w:val="00C64022"/>
    <w:rsid w:val="00CA4DD5"/>
    <w:rsid w:val="00CA745A"/>
    <w:rsid w:val="00CB7E8F"/>
    <w:rsid w:val="00D936EB"/>
    <w:rsid w:val="00D94064"/>
    <w:rsid w:val="00DB26ED"/>
    <w:rsid w:val="00DF4303"/>
    <w:rsid w:val="00E13C79"/>
    <w:rsid w:val="00E2664A"/>
    <w:rsid w:val="00EB212D"/>
    <w:rsid w:val="00F92DB8"/>
    <w:rsid w:val="00FD5CCD"/>
    <w:rsid w:val="00FE215C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2"/>
    <w:pPr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7AD2"/>
    <w:pPr>
      <w:spacing w:after="200"/>
      <w:ind w:left="720"/>
    </w:pPr>
    <w:rPr>
      <w:rFonts w:ascii="Calibri" w:eastAsia="Calibri" w:hAnsi="Calibri" w:cs="Calibri"/>
      <w:sz w:val="28"/>
      <w:szCs w:val="28"/>
      <w:lang w:eastAsia="en-US"/>
    </w:rPr>
  </w:style>
  <w:style w:type="table" w:styleId="a4">
    <w:name w:val="Table Grid"/>
    <w:basedOn w:val="a1"/>
    <w:uiPriority w:val="99"/>
    <w:rsid w:val="00517AD2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517AD2"/>
    <w:rPr>
      <w:rFonts w:ascii="Times New Roman" w:eastAsia="Times New Roman" w:hAnsi="Times New Roman"/>
      <w:sz w:val="28"/>
      <w:szCs w:val="28"/>
      <w:lang w:val="ru-RU" w:eastAsia="en-US"/>
    </w:rPr>
  </w:style>
  <w:style w:type="character" w:styleId="a5">
    <w:name w:val="Hyperlink"/>
    <w:basedOn w:val="a0"/>
    <w:uiPriority w:val="99"/>
    <w:rsid w:val="00517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userMix1604</cp:lastModifiedBy>
  <cp:revision>28</cp:revision>
  <cp:lastPrinted>2015-12-03T09:33:00Z</cp:lastPrinted>
  <dcterms:created xsi:type="dcterms:W3CDTF">2014-01-15T13:45:00Z</dcterms:created>
  <dcterms:modified xsi:type="dcterms:W3CDTF">2015-12-04T11:43:00Z</dcterms:modified>
</cp:coreProperties>
</file>