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976" w:rsidRPr="00276976" w:rsidRDefault="00276976" w:rsidP="00276976">
      <w:pPr>
        <w:shd w:val="clear" w:color="auto" w:fill="FFFFFF"/>
        <w:spacing w:after="60"/>
        <w:jc w:val="center"/>
        <w:outlineLvl w:val="1"/>
        <w:rPr>
          <w:rFonts w:ascii="Tahoma" w:eastAsia="Times New Roman" w:hAnsi="Tahoma" w:cs="Tahoma"/>
          <w:b/>
          <w:bCs/>
          <w:color w:val="4A4A4A"/>
          <w:sz w:val="31"/>
          <w:szCs w:val="31"/>
          <w:lang w:eastAsia="ru-RU"/>
        </w:rPr>
      </w:pPr>
      <w:r w:rsidRPr="00276976">
        <w:rPr>
          <w:rFonts w:ascii="Tahoma" w:eastAsia="Times New Roman" w:hAnsi="Tahoma" w:cs="Tahoma"/>
          <w:b/>
          <w:bCs/>
          <w:color w:val="4A4A4A"/>
          <w:sz w:val="31"/>
          <w:szCs w:val="31"/>
          <w:lang w:eastAsia="ru-RU"/>
        </w:rPr>
        <w:t>СЄВЄРОДОНЕЦЬКА МІСЬКА РАДА</w:t>
      </w:r>
    </w:p>
    <w:p w:rsidR="00276976" w:rsidRPr="00276976" w:rsidRDefault="00276976" w:rsidP="00276976">
      <w:pPr>
        <w:shd w:val="clear" w:color="auto" w:fill="FFFFFF"/>
        <w:spacing w:after="60"/>
        <w:jc w:val="center"/>
        <w:outlineLvl w:val="1"/>
        <w:rPr>
          <w:rFonts w:ascii="Tahoma" w:eastAsia="Times New Roman" w:hAnsi="Tahoma" w:cs="Tahoma"/>
          <w:b/>
          <w:bCs/>
          <w:color w:val="4A4A4A"/>
          <w:sz w:val="31"/>
          <w:szCs w:val="31"/>
          <w:lang w:eastAsia="ru-RU"/>
        </w:rPr>
      </w:pPr>
      <w:r w:rsidRPr="00276976">
        <w:rPr>
          <w:rFonts w:ascii="Tahoma" w:eastAsia="Times New Roman" w:hAnsi="Tahoma" w:cs="Tahoma"/>
          <w:b/>
          <w:bCs/>
          <w:color w:val="4A4A4A"/>
          <w:sz w:val="31"/>
          <w:szCs w:val="31"/>
          <w:lang w:eastAsia="ru-RU"/>
        </w:rPr>
        <w:t>ВИКОНАВЧИЙ КОМІТЕТ</w:t>
      </w:r>
    </w:p>
    <w:p w:rsidR="00276976" w:rsidRPr="00276976" w:rsidRDefault="00276976" w:rsidP="00276976">
      <w:pPr>
        <w:shd w:val="clear" w:color="auto" w:fill="FFFFFF"/>
        <w:spacing w:after="60"/>
        <w:jc w:val="center"/>
        <w:outlineLvl w:val="1"/>
        <w:rPr>
          <w:rFonts w:ascii="Tahoma" w:eastAsia="Times New Roman" w:hAnsi="Tahoma" w:cs="Tahoma"/>
          <w:b/>
          <w:bCs/>
          <w:color w:val="4A4A4A"/>
          <w:sz w:val="31"/>
          <w:szCs w:val="31"/>
          <w:lang w:eastAsia="ru-RU"/>
        </w:rPr>
      </w:pPr>
      <w:r w:rsidRPr="00276976">
        <w:rPr>
          <w:rFonts w:ascii="Tahoma" w:eastAsia="Times New Roman" w:hAnsi="Tahoma" w:cs="Tahoma"/>
          <w:b/>
          <w:bCs/>
          <w:color w:val="4A4A4A"/>
          <w:sz w:val="31"/>
          <w:szCs w:val="31"/>
          <w:lang w:eastAsia="ru-RU"/>
        </w:rPr>
        <w:t>РІШЕННЯ №971</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 _12__ ”  _грудня______ 2013 року</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м. Сєвєродонецьк</w:t>
      </w:r>
    </w:p>
    <w:p w:rsidR="00276976" w:rsidRPr="00276976" w:rsidRDefault="00276976" w:rsidP="00276976">
      <w:pPr>
        <w:shd w:val="clear" w:color="auto" w:fill="FFFFFF"/>
        <w:spacing w:after="60"/>
        <w:outlineLvl w:val="1"/>
        <w:rPr>
          <w:rFonts w:ascii="Tahoma" w:eastAsia="Times New Roman" w:hAnsi="Tahoma" w:cs="Tahoma"/>
          <w:b/>
          <w:bCs/>
          <w:color w:val="4A4A4A"/>
          <w:sz w:val="31"/>
          <w:szCs w:val="31"/>
          <w:lang w:eastAsia="ru-RU"/>
        </w:rPr>
      </w:pPr>
      <w:r w:rsidRPr="00276976">
        <w:rPr>
          <w:rFonts w:ascii="Tahoma" w:eastAsia="Times New Roman" w:hAnsi="Tahoma" w:cs="Tahoma"/>
          <w:b/>
          <w:bCs/>
          <w:color w:val="4A4A4A"/>
          <w:sz w:val="31"/>
          <w:szCs w:val="31"/>
          <w:lang w:eastAsia="ru-RU"/>
        </w:rPr>
        <w:t>Про затвердження висновку щодо доцільності залучення кредиту  КП «Сєвєродонецьктеплокомуненерго» Сєвєродонецької міської ради від  Північної Екологічної Фінансової  Корпорації (НЕФКО) для реалізації  проекту «Демонстраційний проект Demo UkrainaDH у м.Сєвєродонецьку (Модернізація системи теплопостачання об’єктів 81 мікрорайону)» під гарантію Сєвєродонецької міської ради</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 </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Керуючись ст.26, 60, 70, част.1,5 ст.59 Закону України «Про місцеве самоврядування в Україні», постанови Кабінету Міністрів України № 541 від 14.05.2012 року «Про затвердження Порядку надання місцевих гарантій» розглянувши проект «Демонстраційний проект Demo UkrainaDH у м.Сєвєродонецьку (Модернізація системи теплопостачання об’єктів 81 мікрорайону)», виконком Сєвєродонецької міської ради</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 </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ВИРІШИВ:</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1.           Затвердити висновок щодо доцільності залучення кредиту КП «Сєвєродонецьктеплокомуненерго» Сєвєродонецької міської ради від Північної Екологічної Фінансової Корпорації НЕФКО для реалізації проекту «Демонстраційний проект Demo UkrainaDH у м.Сєвєродонецьку (Модернізація системи теплопостачання об’єктів 81 мікрорайону)» під гарантію Сєвєродонецької міської ради згідно з додатком.</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2.           2. Управлінню фінансів Сєвєродонецької міської ради підготувати та надіслати на адресу Міністерства фінансів України письмове повідомлення щодо погодження обсягу та умов надання місцевої гарантії Північній Екологічній Фінансовій Корпорації НЕФКО для забезпечення виконання боргових зобов’язань комунального підприємства «Сєвєродонецьктеплокомуненерго» Сєвєродонецької міської ради.</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3.           Дане рішення підлягає оприлюдненню.</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4.             Контроль за виконанням цього рішення покласти на першого заступника міського голови Халіна Є.В..</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 </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b/>
          <w:bCs/>
          <w:color w:val="4A4A4A"/>
          <w:sz w:val="11"/>
          <w:lang w:eastAsia="ru-RU"/>
        </w:rPr>
        <w:t>Міський голова                                                                             В.В.Казаков</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 </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 </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 </w:t>
      </w:r>
    </w:p>
    <w:p w:rsidR="00276976" w:rsidRPr="00276976" w:rsidRDefault="00276976" w:rsidP="00276976">
      <w:pPr>
        <w:shd w:val="clear" w:color="auto" w:fill="FFFFFF"/>
        <w:spacing w:after="180" w:line="360" w:lineRule="atLeast"/>
        <w:jc w:val="right"/>
        <w:rPr>
          <w:rFonts w:ascii="Tahoma" w:eastAsia="Times New Roman" w:hAnsi="Tahoma" w:cs="Tahoma"/>
          <w:color w:val="4A4A4A"/>
          <w:sz w:val="11"/>
          <w:szCs w:val="11"/>
          <w:lang w:eastAsia="ru-RU"/>
        </w:rPr>
      </w:pPr>
      <w:r w:rsidRPr="00276976">
        <w:rPr>
          <w:rFonts w:ascii="Tahoma" w:eastAsia="Times New Roman" w:hAnsi="Tahoma" w:cs="Tahoma"/>
          <w:i/>
          <w:iCs/>
          <w:color w:val="4A4A4A"/>
          <w:sz w:val="11"/>
          <w:lang w:eastAsia="ru-RU"/>
        </w:rPr>
        <w:lastRenderedPageBreak/>
        <w:t>Додаток</w:t>
      </w:r>
    </w:p>
    <w:p w:rsidR="00276976" w:rsidRPr="00276976" w:rsidRDefault="00276976" w:rsidP="00276976">
      <w:pPr>
        <w:shd w:val="clear" w:color="auto" w:fill="FFFFFF"/>
        <w:spacing w:after="180" w:line="360" w:lineRule="atLeast"/>
        <w:jc w:val="right"/>
        <w:rPr>
          <w:rFonts w:ascii="Tahoma" w:eastAsia="Times New Roman" w:hAnsi="Tahoma" w:cs="Tahoma"/>
          <w:color w:val="4A4A4A"/>
          <w:sz w:val="11"/>
          <w:szCs w:val="11"/>
          <w:lang w:eastAsia="ru-RU"/>
        </w:rPr>
      </w:pPr>
      <w:r w:rsidRPr="00276976">
        <w:rPr>
          <w:rFonts w:ascii="Tahoma" w:eastAsia="Times New Roman" w:hAnsi="Tahoma" w:cs="Tahoma"/>
          <w:i/>
          <w:iCs/>
          <w:color w:val="4A4A4A"/>
          <w:sz w:val="11"/>
          <w:lang w:eastAsia="ru-RU"/>
        </w:rPr>
        <w:t>до рішення міськвиконкому</w:t>
      </w:r>
    </w:p>
    <w:p w:rsidR="00276976" w:rsidRPr="00276976" w:rsidRDefault="00276976" w:rsidP="00276976">
      <w:pPr>
        <w:shd w:val="clear" w:color="auto" w:fill="FFFFFF"/>
        <w:spacing w:after="180" w:line="360" w:lineRule="atLeast"/>
        <w:jc w:val="right"/>
        <w:rPr>
          <w:rFonts w:ascii="Tahoma" w:eastAsia="Times New Roman" w:hAnsi="Tahoma" w:cs="Tahoma"/>
          <w:color w:val="4A4A4A"/>
          <w:sz w:val="11"/>
          <w:szCs w:val="11"/>
          <w:lang w:eastAsia="ru-RU"/>
        </w:rPr>
      </w:pPr>
      <w:r w:rsidRPr="00276976">
        <w:rPr>
          <w:rFonts w:ascii="Tahoma" w:eastAsia="Times New Roman" w:hAnsi="Tahoma" w:cs="Tahoma"/>
          <w:i/>
          <w:iCs/>
          <w:color w:val="4A4A4A"/>
          <w:sz w:val="11"/>
          <w:lang w:eastAsia="ru-RU"/>
        </w:rPr>
        <w:t>від 10.12.2013 №971</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 </w:t>
      </w:r>
    </w:p>
    <w:p w:rsidR="00276976" w:rsidRPr="00276976" w:rsidRDefault="00276976" w:rsidP="00276976">
      <w:pPr>
        <w:shd w:val="clear" w:color="auto" w:fill="FFFFFF"/>
        <w:spacing w:after="180" w:line="360" w:lineRule="atLeast"/>
        <w:jc w:val="center"/>
        <w:rPr>
          <w:rFonts w:ascii="Tahoma" w:eastAsia="Times New Roman" w:hAnsi="Tahoma" w:cs="Tahoma"/>
          <w:color w:val="4A4A4A"/>
          <w:sz w:val="11"/>
          <w:szCs w:val="11"/>
          <w:lang w:eastAsia="ru-RU"/>
        </w:rPr>
      </w:pPr>
      <w:r w:rsidRPr="00276976">
        <w:rPr>
          <w:rFonts w:ascii="Tahoma" w:eastAsia="Times New Roman" w:hAnsi="Tahoma" w:cs="Tahoma"/>
          <w:b/>
          <w:bCs/>
          <w:color w:val="4A4A4A"/>
          <w:sz w:val="11"/>
          <w:lang w:eastAsia="ru-RU"/>
        </w:rPr>
        <w:t>Висновок</w:t>
      </w:r>
    </w:p>
    <w:p w:rsidR="00276976" w:rsidRPr="00276976" w:rsidRDefault="00276976" w:rsidP="00276976">
      <w:pPr>
        <w:shd w:val="clear" w:color="auto" w:fill="FFFFFF"/>
        <w:spacing w:after="180" w:line="360" w:lineRule="atLeast"/>
        <w:jc w:val="center"/>
        <w:rPr>
          <w:rFonts w:ascii="Tahoma" w:eastAsia="Times New Roman" w:hAnsi="Tahoma" w:cs="Tahoma"/>
          <w:color w:val="4A4A4A"/>
          <w:sz w:val="11"/>
          <w:szCs w:val="11"/>
          <w:lang w:eastAsia="ru-RU"/>
        </w:rPr>
      </w:pPr>
      <w:r w:rsidRPr="00276976">
        <w:rPr>
          <w:rFonts w:ascii="Tahoma" w:eastAsia="Times New Roman" w:hAnsi="Tahoma" w:cs="Tahoma"/>
          <w:b/>
          <w:bCs/>
          <w:color w:val="4A4A4A"/>
          <w:sz w:val="11"/>
          <w:lang w:eastAsia="ru-RU"/>
        </w:rPr>
        <w:t>щодо доцільності залучення кредиту КП «Сєвєродонецьктеплокомуенерго» від Північної Екологічної Фінансової Корпорації НЕФКО  для реалізації проекту «Демонстраційний проект Demo UkrainaDH у м.Сєвєродонецьку (Модернізація системи теплопостачання об’єктів 81 мікрорайону)»</w:t>
      </w:r>
    </w:p>
    <w:p w:rsidR="00276976" w:rsidRPr="00276976" w:rsidRDefault="00276976" w:rsidP="00276976">
      <w:pPr>
        <w:shd w:val="clear" w:color="auto" w:fill="FFFFFF"/>
        <w:spacing w:after="180" w:line="360" w:lineRule="atLeast"/>
        <w:jc w:val="center"/>
        <w:rPr>
          <w:rFonts w:ascii="Tahoma" w:eastAsia="Times New Roman" w:hAnsi="Tahoma" w:cs="Tahoma"/>
          <w:color w:val="4A4A4A"/>
          <w:sz w:val="11"/>
          <w:szCs w:val="11"/>
          <w:lang w:eastAsia="ru-RU"/>
        </w:rPr>
      </w:pPr>
      <w:r w:rsidRPr="00276976">
        <w:rPr>
          <w:rFonts w:ascii="Tahoma" w:eastAsia="Times New Roman" w:hAnsi="Tahoma" w:cs="Tahoma"/>
          <w:b/>
          <w:bCs/>
          <w:color w:val="4A4A4A"/>
          <w:sz w:val="11"/>
          <w:lang w:eastAsia="ru-RU"/>
        </w:rPr>
        <w:t> під гарантію Сєвєродонецької міської ради</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 </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Обґрунтування  необхідності реалізації  проекту «Демонстраційний проект Demo UkrainaDH у м.Сєвєродонецьку (Модернізація системи теплопостачання об’єктів 81 мікрорайону)»:</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Існуюча схема теплопостачання КП «Сєвєродонецьктеплокомуенерго» - залежна, з центральними тепловими пунктами (ЦТП), через які здійснюється подача тепла окремими трубопроводами на опалення та гаряче водопостачання будинків. На даний час технічний стан обладнання ЦТП та теплових мереж вкрай незадовільний. У зв’язку з інтенсивною та тривалою експлуатацією, обладнання ЦТП морально застаріле та фізично зношене, щоробить його експлуатацію низько ефективною. Діючачотирьохтрубна система теплопостачання характеризується високими втратами тепла через ізоляцію та з витоками, роз регулюванням системи теплопостачання та недовговічністю розподільчих трубопроводів мереж гарячого водопостачання. Відсутність приладів обліку витрат теплової енергіїу більшості споживачів спричиняє її нераціональне використання, а відсутність можливості регулювання параметрів теплоносія впливає на забезпечення комфортних умов проживання споживачів тепла. Таким чином, існуюча система теплопостачання потребує термінової реконструкції, модернізації та оптимізації з використанням сучасного ефективного обладнання та впровадження енергозберігаючих технологій, що в силу значних капіталовкладень вимагає залучення грантових та кредитних коштів Екологічної Фінансової Корпорації НЕФКО.</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 Проект «Демонстраційний проект Demo UkrainaDH у м.Сєвєродонецьку (Модернізація системи теплопостачання об’єктів 81 мікрорайону)» (надалі – «Проект») відповідає Енергетичній стратегії України на період до 2030 року, Програмі енергоефективності Луганської області  до 2015 року, Програма енергоефективності та розвитку сфери виробництва енергоносіїв з відновлюваних джерел енергії та альтернативних видів палива м.Сєвєродонецьку на 2011-2015 роки.</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Загальною метою Проекту є зменшення обсягів використання паливно-енергетичних ресурсів, підвищення ефективності їх використання за рахунок впровадження більш ефективного нового обладнання, зменшення втрат тепла при транспортування та розподілі теплоносія також покращення якості послуг та задоволення соціальних потреб населення та потреб ринкової економіки щодо надійного, екологічно чистого та безпечного теплопостачання.</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1.      Зміст Проекту:</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1.1. Закриття ЦТП-6, що обслуговує мікрорайон 81 теплом та гарячою водою через чотирьохтрубну систему;</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1.2. Перехід на всій території мікрорайону з чотирьохтрубної на двотрубну систему та заміна трубопроводів новими попередньо ізольованими трубами;;</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1.3. Встановлення індивідуальних теплових пунктів (ІТП) в житлових будинках та дитячому садку мікрорайону 81.</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2. Цілі Проекту:</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2.1. Зменшення витрат на виробництво та транспортування тепла.</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2.2. Економія енергоресурсів від зниження фактичних втрат теплової енергії з витоками та через ізоляцію, економія води на підживлення теплових мереж.</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lastRenderedPageBreak/>
        <w:t>2.3. Економія енергоресурсів від зниження фактичних втрат теплової енергії з витоками та через ізоляцію, економія води на підживлення теплових мереж.</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2.4. Економія витрати електроенергії на перекачування теплоносія.</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2.5. Скорочення потреби в кваліфікованому персоналі, що обслуговує ЦТП.</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2.6. Стовідсоткове забезпечення споживачів засобами обліку теплової енергії.</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2.7. Забезпечення кожного окремого будинку теплом та цілодобово гарячою водою. Отримання можливості споживачам самостійно регулювати споживання теплоенергії і платити тільки за реально використане тепло.</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2.8. Покращення якості та підвищення надійності надання послуг з опалення та гарячого водопостачання.</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3. Завдання, які необхідно виконати для досягнення поставлених цілей:</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3.1. Встановити ІТП. Установка ІТП передбачає розробку проекту, закупівлю матеріалу, монтаж та пуск в експлуатацію.</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3.2. Замінити трубопроводи. Заміна трубопроводів передбачає розробку проекту, закупівлю матеріалу, проведення будівельних та зварювальних робіт, стиковку, технічний нагляд.</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3.3. Встановити балансуючі клапани у стояках будинків і замінити розподільчі теплопроводи у підвалах. Ці заходи охоплять 10 будинків.</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4.Очікувані результати Проекту:</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4.1. Економічний ефект:</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4.1.1.Загальна економія природного газу  в рамках проекту становитиме 570 тис.м3/рік. У відсотковому відношенні до загального споживання 1900 тис.м3/рік, економія природного газу складає 30%;</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4.1.2. Споживання електроенергії буде скорочено на 37,5%. Щорічна економія електроенергії становитиме 90 МВт-год/рік;</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4.1.3. Економія паливно-енергетичних ресурсів складатиме у грошовому еквіваленті 115500 євро у рік;</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4.1.4. Зменшення інших витрат, у тому числі на технічне обслуговування становитиме 12300 євро у рік;</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4.1.5. Термін окупності: 5 років.</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4.2. Соціальний та екологічний ефект:</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4.2.1. Зменшення викидів СО</w:t>
      </w:r>
      <w:r w:rsidRPr="00276976">
        <w:rPr>
          <w:rFonts w:ascii="Tahoma" w:eastAsia="Times New Roman" w:hAnsi="Tahoma" w:cs="Tahoma"/>
          <w:color w:val="4A4A4A"/>
          <w:sz w:val="11"/>
          <w:szCs w:val="11"/>
          <w:vertAlign w:val="subscript"/>
          <w:lang w:eastAsia="ru-RU"/>
        </w:rPr>
        <w:t>2</w:t>
      </w:r>
      <w:r w:rsidRPr="00276976">
        <w:rPr>
          <w:rFonts w:ascii="Tahoma" w:eastAsia="Times New Roman" w:hAnsi="Tahoma" w:cs="Tahoma"/>
          <w:color w:val="4A4A4A"/>
          <w:sz w:val="11"/>
          <w:lang w:eastAsia="ru-RU"/>
        </w:rPr>
        <w:t> </w:t>
      </w:r>
      <w:r w:rsidRPr="00276976">
        <w:rPr>
          <w:rFonts w:ascii="Tahoma" w:eastAsia="Times New Roman" w:hAnsi="Tahoma" w:cs="Tahoma"/>
          <w:color w:val="4A4A4A"/>
          <w:sz w:val="11"/>
          <w:szCs w:val="11"/>
          <w:lang w:eastAsia="ru-RU"/>
        </w:rPr>
        <w:t>на 1100 тон/рік ( 30%);</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4.2.2. Зменшення викидів NО</w:t>
      </w:r>
      <w:r w:rsidRPr="00276976">
        <w:rPr>
          <w:rFonts w:ascii="Tahoma" w:eastAsia="Times New Roman" w:hAnsi="Tahoma" w:cs="Tahoma"/>
          <w:color w:val="4A4A4A"/>
          <w:sz w:val="11"/>
          <w:szCs w:val="11"/>
          <w:vertAlign w:val="subscript"/>
          <w:lang w:eastAsia="ru-RU"/>
        </w:rPr>
        <w:t>x</w:t>
      </w:r>
      <w:r w:rsidRPr="00276976">
        <w:rPr>
          <w:rFonts w:ascii="Tahoma" w:eastAsia="Times New Roman" w:hAnsi="Tahoma" w:cs="Tahoma"/>
          <w:color w:val="4A4A4A"/>
          <w:sz w:val="11"/>
          <w:lang w:eastAsia="ru-RU"/>
        </w:rPr>
        <w:t> </w:t>
      </w:r>
      <w:r w:rsidRPr="00276976">
        <w:rPr>
          <w:rFonts w:ascii="Tahoma" w:eastAsia="Times New Roman" w:hAnsi="Tahoma" w:cs="Tahoma"/>
          <w:color w:val="4A4A4A"/>
          <w:sz w:val="11"/>
          <w:szCs w:val="11"/>
          <w:lang w:eastAsia="ru-RU"/>
        </w:rPr>
        <w:t>на 1,7 тон/рік (30%);</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4.2.3. Кращі кліматичні умови для мешканців міста.</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5. Загальна інвестиційна вартість Проекту: 815 тис. євро.</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6. Термін реалізації Проекту: заплановано на жовтень 2014 року.</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7. Джерела фінансування Проекту:</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7.1. Довгостроковий кредит: 375 тис. євро;</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lastRenderedPageBreak/>
        <w:t>7.2. Власні кошти підприємства: 140 тис. євро;</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7.3. Грант: 300 тис. євро.</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8. Джерела повернення кредиту: власні кошти підприємства.</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9. Оцінка ефективності Проекту:</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9.1. Чиста приведена вартість (NPV): 1514 тис. євро;</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9.2. Внутрішня норма рентабельності (ІRR): 28%;</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9.3. Дисконтований період окупності (DDP): 6 років.</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Враховуючи викладене, комунальному підприємству «Сєвєродонецьктеплокомуненерго» Сєвєродонецької міської ради доцільно дозволити здійснити  проект «Демонстраційний проект Demo UkrainaDH у м.Сєвєродонецьку (Модернізація системи теплопостачання об’єктів 81 мікрорайону)».</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 </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Секретар міської ради,</w:t>
      </w:r>
    </w:p>
    <w:p w:rsidR="00276976" w:rsidRPr="00276976" w:rsidRDefault="00276976" w:rsidP="00276976">
      <w:pPr>
        <w:shd w:val="clear" w:color="auto" w:fill="FFFFFF"/>
        <w:spacing w:after="180" w:line="360" w:lineRule="atLeast"/>
        <w:rPr>
          <w:rFonts w:ascii="Tahoma" w:eastAsia="Times New Roman" w:hAnsi="Tahoma" w:cs="Tahoma"/>
          <w:color w:val="4A4A4A"/>
          <w:sz w:val="11"/>
          <w:szCs w:val="11"/>
          <w:lang w:eastAsia="ru-RU"/>
        </w:rPr>
      </w:pPr>
      <w:r w:rsidRPr="00276976">
        <w:rPr>
          <w:rFonts w:ascii="Tahoma" w:eastAsia="Times New Roman" w:hAnsi="Tahoma" w:cs="Tahoma"/>
          <w:color w:val="4A4A4A"/>
          <w:sz w:val="11"/>
          <w:szCs w:val="11"/>
          <w:lang w:eastAsia="ru-RU"/>
        </w:rPr>
        <w:t>в.о.керуючого справами виконкому                                             А.А.Гавриленко</w:t>
      </w:r>
    </w:p>
    <w:p w:rsidR="00C62C0A" w:rsidRPr="00276976" w:rsidRDefault="00C62C0A" w:rsidP="00276976"/>
    <w:sectPr w:rsidR="00C62C0A" w:rsidRPr="00276976"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rsids>
    <w:rsidRoot w:val="00276976"/>
    <w:rsid w:val="00276976"/>
    <w:rsid w:val="009B0720"/>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276976"/>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7697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76976"/>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276976"/>
    <w:rPr>
      <w:b/>
      <w:bCs/>
    </w:rPr>
  </w:style>
  <w:style w:type="character" w:styleId="a5">
    <w:name w:val="Emphasis"/>
    <w:basedOn w:val="a0"/>
    <w:uiPriority w:val="20"/>
    <w:qFormat/>
    <w:rsid w:val="00276976"/>
    <w:rPr>
      <w:i/>
      <w:iCs/>
    </w:rPr>
  </w:style>
  <w:style w:type="character" w:customStyle="1" w:styleId="apple-converted-space">
    <w:name w:val="apple-converted-space"/>
    <w:basedOn w:val="a0"/>
    <w:rsid w:val="00276976"/>
  </w:style>
</w:styles>
</file>

<file path=word/webSettings.xml><?xml version="1.0" encoding="utf-8"?>
<w:webSettings xmlns:r="http://schemas.openxmlformats.org/officeDocument/2006/relationships" xmlns:w="http://schemas.openxmlformats.org/wordprocessingml/2006/main">
  <w:divs>
    <w:div w:id="11625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6891</Characters>
  <Application>Microsoft Office Word</Application>
  <DocSecurity>0</DocSecurity>
  <Lines>57</Lines>
  <Paragraphs>16</Paragraphs>
  <ScaleCrop>false</ScaleCrop>
  <Company>Северодонецкие вести</Company>
  <LinksUpToDate>false</LinksUpToDate>
  <CharactersWithSpaces>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2016-09-01T08:08:00Z</dcterms:created>
  <dcterms:modified xsi:type="dcterms:W3CDTF">2016-09-01T08:09:00Z</dcterms:modified>
</cp:coreProperties>
</file>