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CA" w:rsidRPr="000B02CA" w:rsidRDefault="000B02CA" w:rsidP="000B02CA">
      <w:pPr>
        <w:shd w:val="clear" w:color="auto" w:fill="FFFFFF"/>
        <w:spacing w:after="60"/>
        <w:jc w:val="center"/>
        <w:outlineLvl w:val="1"/>
        <w:rPr>
          <w:rFonts w:ascii="Tahoma" w:eastAsia="Times New Roman" w:hAnsi="Tahoma" w:cs="Tahoma"/>
          <w:b/>
          <w:bCs/>
          <w:color w:val="4A4A4A"/>
          <w:sz w:val="31"/>
          <w:szCs w:val="31"/>
          <w:lang w:eastAsia="ru-RU"/>
        </w:rPr>
      </w:pPr>
      <w:r w:rsidRPr="000B02CA">
        <w:rPr>
          <w:rFonts w:ascii="Tahoma" w:eastAsia="Times New Roman" w:hAnsi="Tahoma" w:cs="Tahoma"/>
          <w:b/>
          <w:bCs/>
          <w:color w:val="4A4A4A"/>
          <w:sz w:val="31"/>
          <w:szCs w:val="31"/>
          <w:lang w:eastAsia="ru-RU"/>
        </w:rPr>
        <w:t>СЄВЄРОДОНЕЦЬКА МІСЬКА РАДА</w:t>
      </w:r>
    </w:p>
    <w:p w:rsidR="000B02CA" w:rsidRPr="000B02CA" w:rsidRDefault="000B02CA" w:rsidP="000B02CA">
      <w:pPr>
        <w:shd w:val="clear" w:color="auto" w:fill="FFFFFF"/>
        <w:spacing w:after="60"/>
        <w:jc w:val="center"/>
        <w:outlineLvl w:val="1"/>
        <w:rPr>
          <w:rFonts w:ascii="Tahoma" w:eastAsia="Times New Roman" w:hAnsi="Tahoma" w:cs="Tahoma"/>
          <w:b/>
          <w:bCs/>
          <w:color w:val="4A4A4A"/>
          <w:sz w:val="31"/>
          <w:szCs w:val="31"/>
          <w:lang w:eastAsia="ru-RU"/>
        </w:rPr>
      </w:pPr>
      <w:r w:rsidRPr="000B02CA">
        <w:rPr>
          <w:rFonts w:ascii="Tahoma" w:eastAsia="Times New Roman" w:hAnsi="Tahoma" w:cs="Tahoma"/>
          <w:b/>
          <w:bCs/>
          <w:color w:val="4A4A4A"/>
          <w:sz w:val="31"/>
          <w:szCs w:val="31"/>
          <w:lang w:eastAsia="ru-RU"/>
        </w:rPr>
        <w:t>ВИКОНАВЧИЙ КОМІТЕТ</w:t>
      </w:r>
    </w:p>
    <w:p w:rsidR="000B02CA" w:rsidRPr="000B02CA" w:rsidRDefault="000B02CA" w:rsidP="000B02CA">
      <w:pPr>
        <w:shd w:val="clear" w:color="auto" w:fill="FFFFFF"/>
        <w:spacing w:after="60"/>
        <w:jc w:val="center"/>
        <w:outlineLvl w:val="1"/>
        <w:rPr>
          <w:rFonts w:ascii="Tahoma" w:eastAsia="Times New Roman" w:hAnsi="Tahoma" w:cs="Tahoma"/>
          <w:b/>
          <w:bCs/>
          <w:color w:val="4A4A4A"/>
          <w:sz w:val="31"/>
          <w:szCs w:val="31"/>
          <w:lang w:eastAsia="ru-RU"/>
        </w:rPr>
      </w:pPr>
      <w:r w:rsidRPr="000B02CA">
        <w:rPr>
          <w:rFonts w:ascii="Tahoma" w:eastAsia="Times New Roman" w:hAnsi="Tahoma" w:cs="Tahoma"/>
          <w:b/>
          <w:bCs/>
          <w:color w:val="4A4A4A"/>
          <w:sz w:val="31"/>
          <w:szCs w:val="31"/>
          <w:lang w:eastAsia="ru-RU"/>
        </w:rPr>
        <w:t>РІШЕННЯ  №674</w:t>
      </w:r>
    </w:p>
    <w:p w:rsidR="000B02CA" w:rsidRPr="000B02CA" w:rsidRDefault="000B02CA" w:rsidP="000B02CA">
      <w:pPr>
        <w:shd w:val="clear" w:color="auto" w:fill="FFFFFF"/>
        <w:spacing w:after="180" w:line="360" w:lineRule="atLeast"/>
        <w:jc w:val="both"/>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“20” серпня 2013р.</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м.Сєвєродонецьк</w:t>
      </w:r>
    </w:p>
    <w:p w:rsidR="000B02CA" w:rsidRPr="000B02CA" w:rsidRDefault="000B02CA" w:rsidP="000B02CA">
      <w:pPr>
        <w:shd w:val="clear" w:color="auto" w:fill="FFFFFF"/>
        <w:spacing w:after="60"/>
        <w:outlineLvl w:val="1"/>
        <w:rPr>
          <w:rFonts w:ascii="Tahoma" w:eastAsia="Times New Roman" w:hAnsi="Tahoma" w:cs="Tahoma"/>
          <w:b/>
          <w:bCs/>
          <w:color w:val="4A4A4A"/>
          <w:sz w:val="31"/>
          <w:szCs w:val="31"/>
          <w:lang w:eastAsia="ru-RU"/>
        </w:rPr>
      </w:pPr>
      <w:r w:rsidRPr="000B02CA">
        <w:rPr>
          <w:rFonts w:ascii="Tahoma" w:eastAsia="Times New Roman" w:hAnsi="Tahoma" w:cs="Tahoma"/>
          <w:b/>
          <w:bCs/>
          <w:color w:val="4A4A4A"/>
          <w:sz w:val="31"/>
          <w:szCs w:val="31"/>
          <w:lang w:eastAsia="ru-RU"/>
        </w:rPr>
        <w:t>Про результати роботи тимчасової комісії з питання використання об’єктів та земельних ділянок, які не відповідають генплану м.Сєвєродонецьк</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Керуючись ст.32, 59 Закону України «Про місцеве самоврядування в Україні», Законом України «Про регулювання містобудівної діяльності»,  враховуючи генплан м.Сєвєродонецька, затверджений рішенням сесії міської ради №717 від 26.04.1994р., лист ДП УДПІ «Укрміськбудпроект» №06/15-320 від 07.08.2013р., заслухавши інформацію про роботу тимчасової комісії з питання використання об’єктів та земельних ділянок, які не відповідають генплану м.Сєвєродонецька, створеною розпорядженням міського голови №219 від 21.06.2013р., виконком міської ради</w:t>
      </w:r>
    </w:p>
    <w:p w:rsidR="000B02CA" w:rsidRPr="000B02CA" w:rsidRDefault="000B02CA" w:rsidP="000B02CA">
      <w:pPr>
        <w:shd w:val="clear" w:color="auto" w:fill="FFFFFF"/>
        <w:spacing w:after="180" w:line="360" w:lineRule="atLeast"/>
        <w:ind w:firstLine="720"/>
        <w:rPr>
          <w:rFonts w:ascii="Tahoma" w:eastAsia="Times New Roman" w:hAnsi="Tahoma" w:cs="Tahoma"/>
          <w:color w:val="4A4A4A"/>
          <w:sz w:val="15"/>
          <w:szCs w:val="15"/>
          <w:lang w:eastAsia="ru-RU"/>
        </w:rPr>
      </w:pPr>
      <w:r w:rsidRPr="000B02CA">
        <w:rPr>
          <w:rFonts w:ascii="Tahoma" w:eastAsia="Times New Roman" w:hAnsi="Tahoma" w:cs="Tahoma"/>
          <w:color w:val="4A4A4A"/>
          <w:sz w:val="24"/>
          <w:szCs w:val="24"/>
          <w:lang w:val="uk-UA" w:eastAsia="ru-RU"/>
        </w:rPr>
        <w:t> </w:t>
      </w:r>
    </w:p>
    <w:p w:rsidR="000B02CA" w:rsidRPr="000B02CA" w:rsidRDefault="000B02CA" w:rsidP="000B02CA">
      <w:pPr>
        <w:shd w:val="clear" w:color="auto" w:fill="FFFFFF"/>
        <w:spacing w:after="60" w:line="350" w:lineRule="atLeast"/>
        <w:ind w:firstLine="720"/>
        <w:outlineLvl w:val="2"/>
        <w:rPr>
          <w:rFonts w:ascii="Tahoma" w:eastAsia="Times New Roman" w:hAnsi="Tahoma" w:cs="Tahoma"/>
          <w:b/>
          <w:bCs/>
          <w:color w:val="4A4A4A"/>
          <w:sz w:val="29"/>
          <w:szCs w:val="29"/>
          <w:lang w:eastAsia="ru-RU"/>
        </w:rPr>
      </w:pPr>
      <w:r w:rsidRPr="000B02CA">
        <w:rPr>
          <w:rFonts w:ascii="Tahoma" w:eastAsia="Times New Roman" w:hAnsi="Tahoma" w:cs="Tahoma"/>
          <w:b/>
          <w:bCs/>
          <w:color w:val="4A4A4A"/>
          <w:sz w:val="29"/>
          <w:szCs w:val="29"/>
          <w:lang w:val="uk-UA" w:eastAsia="ru-RU"/>
        </w:rPr>
        <w:t>ВИРІШИВ:</w:t>
      </w:r>
    </w:p>
    <w:p w:rsidR="000B02CA" w:rsidRPr="000B02CA" w:rsidRDefault="000B02CA" w:rsidP="000B02CA">
      <w:pPr>
        <w:shd w:val="clear" w:color="auto" w:fill="FFFFFF"/>
        <w:spacing w:after="180" w:line="360" w:lineRule="atLeast"/>
        <w:jc w:val="both"/>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1.Прийняти інформацію про роботу тимчасової комісії з питання використання об’єктів та земельних ділянок, які не відповідають генплану м.Сєвєродонецька, до відома (Додаток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2.Відділу освіти міської ради до 31.12.2013р. провести інвентаризацію дошкільних навчальних закладів на території Сєвєродонецької міської ради.</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3.Дане рішення підлягає публікації.</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4. Контроль  за виконанням цього рішення  покласти   на заступника міського голови Кравченко В.Г.</w:t>
      </w:r>
    </w:p>
    <w:p w:rsidR="000B02CA" w:rsidRPr="000B02CA" w:rsidRDefault="000B02CA" w:rsidP="000B02CA">
      <w:pPr>
        <w:shd w:val="clear" w:color="auto" w:fill="FFFFFF"/>
        <w:spacing w:after="180" w:line="291" w:lineRule="atLeast"/>
        <w:jc w:val="both"/>
        <w:rPr>
          <w:rFonts w:ascii="Tahoma" w:eastAsia="Times New Roman" w:hAnsi="Tahoma" w:cs="Tahoma"/>
          <w:color w:val="4A4A4A"/>
          <w:sz w:val="15"/>
          <w:szCs w:val="15"/>
          <w:lang w:eastAsia="ru-RU"/>
        </w:rPr>
      </w:pPr>
      <w:r w:rsidRPr="000B02CA">
        <w:rPr>
          <w:rFonts w:ascii="Tahoma" w:eastAsia="Times New Roman" w:hAnsi="Tahoma" w:cs="Tahoma"/>
          <w:color w:val="4A4A4A"/>
          <w:sz w:val="24"/>
          <w:szCs w:val="24"/>
          <w:lang w:val="uk-UA" w:eastAsia="ru-RU"/>
        </w:rPr>
        <w:t> </w:t>
      </w:r>
    </w:p>
    <w:tbl>
      <w:tblPr>
        <w:tblW w:w="0" w:type="auto"/>
        <w:tblInd w:w="108" w:type="dxa"/>
        <w:shd w:val="clear" w:color="auto" w:fill="FFFFFF"/>
        <w:tblCellMar>
          <w:left w:w="0" w:type="dxa"/>
          <w:right w:w="0" w:type="dxa"/>
        </w:tblCellMar>
        <w:tblLook w:val="04A0"/>
      </w:tblPr>
      <w:tblGrid>
        <w:gridCol w:w="6938"/>
        <w:gridCol w:w="2525"/>
      </w:tblGrid>
      <w:tr w:rsidR="000B02CA" w:rsidRPr="000B02CA" w:rsidTr="000B02CA">
        <w:tc>
          <w:tcPr>
            <w:tcW w:w="7088" w:type="dxa"/>
            <w:tcBorders>
              <w:top w:val="nil"/>
              <w:left w:val="nil"/>
              <w:bottom w:val="nil"/>
              <w:right w:val="nil"/>
            </w:tcBorders>
            <w:shd w:val="clear" w:color="auto" w:fill="FFFFFF"/>
            <w:tcMar>
              <w:top w:w="0" w:type="dxa"/>
              <w:left w:w="108" w:type="dxa"/>
              <w:bottom w:w="0" w:type="dxa"/>
              <w:right w:w="108" w:type="dxa"/>
            </w:tcMar>
            <w:hideMark/>
          </w:tcPr>
          <w:p w:rsidR="000B02CA" w:rsidRPr="000B02CA" w:rsidRDefault="000B02CA" w:rsidP="000B02CA">
            <w:pPr>
              <w:spacing w:after="180" w:line="219" w:lineRule="atLeast"/>
              <w:jc w:val="both"/>
              <w:rPr>
                <w:rFonts w:ascii="Times New Roman" w:eastAsia="Times New Roman" w:hAnsi="Times New Roman" w:cs="Times New Roman"/>
                <w:color w:val="4A4A4A"/>
                <w:sz w:val="24"/>
                <w:szCs w:val="24"/>
                <w:lang w:eastAsia="ru-RU"/>
              </w:rPr>
            </w:pPr>
            <w:r w:rsidRPr="000B02CA">
              <w:rPr>
                <w:rFonts w:ascii="Times New Roman" w:eastAsia="Times New Roman" w:hAnsi="Times New Roman" w:cs="Times New Roman"/>
                <w:b/>
                <w:bCs/>
                <w:color w:val="4A4A4A"/>
                <w:sz w:val="24"/>
                <w:szCs w:val="24"/>
                <w:lang w:val="uk-UA" w:eastAsia="ru-RU"/>
              </w:rPr>
              <w:t>Міський голова   </w:t>
            </w:r>
          </w:p>
        </w:tc>
        <w:tc>
          <w:tcPr>
            <w:tcW w:w="2551" w:type="dxa"/>
            <w:tcBorders>
              <w:top w:val="nil"/>
              <w:left w:val="nil"/>
              <w:bottom w:val="nil"/>
              <w:right w:val="nil"/>
            </w:tcBorders>
            <w:shd w:val="clear" w:color="auto" w:fill="FFFFFF"/>
            <w:tcMar>
              <w:top w:w="0" w:type="dxa"/>
              <w:left w:w="108" w:type="dxa"/>
              <w:bottom w:w="0" w:type="dxa"/>
              <w:right w:w="108" w:type="dxa"/>
            </w:tcMar>
            <w:hideMark/>
          </w:tcPr>
          <w:p w:rsidR="000B02CA" w:rsidRPr="000B02CA" w:rsidRDefault="000B02CA" w:rsidP="000B02CA">
            <w:pPr>
              <w:spacing w:after="180" w:line="219" w:lineRule="atLeast"/>
              <w:ind w:left="-250" w:hanging="141"/>
              <w:rPr>
                <w:rFonts w:ascii="Times New Roman" w:eastAsia="Times New Roman" w:hAnsi="Times New Roman" w:cs="Times New Roman"/>
                <w:color w:val="4A4A4A"/>
                <w:sz w:val="24"/>
                <w:szCs w:val="24"/>
                <w:lang w:eastAsia="ru-RU"/>
              </w:rPr>
            </w:pPr>
            <w:r w:rsidRPr="000B02CA">
              <w:rPr>
                <w:rFonts w:ascii="Times New Roman" w:eastAsia="Times New Roman" w:hAnsi="Times New Roman" w:cs="Times New Roman"/>
                <w:b/>
                <w:bCs/>
                <w:color w:val="4A4A4A"/>
                <w:sz w:val="24"/>
                <w:szCs w:val="24"/>
                <w:lang w:val="uk-UA" w:eastAsia="ru-RU"/>
              </w:rPr>
              <w:t>      В.В.Казаков</w:t>
            </w:r>
          </w:p>
        </w:tc>
      </w:tr>
    </w:tbl>
    <w:p w:rsidR="000B02CA" w:rsidRPr="000B02CA" w:rsidRDefault="000B02CA" w:rsidP="000B02CA">
      <w:pPr>
        <w:rPr>
          <w:rFonts w:ascii="Times New Roman" w:eastAsia="Times New Roman" w:hAnsi="Times New Roman" w:cs="Times New Roman"/>
          <w:sz w:val="24"/>
          <w:szCs w:val="24"/>
          <w:lang w:eastAsia="ru-RU"/>
        </w:rPr>
      </w:pPr>
      <w:r w:rsidRPr="000B02CA">
        <w:rPr>
          <w:rFonts w:ascii="Tahoma" w:eastAsia="Times New Roman" w:hAnsi="Tahoma" w:cs="Tahoma"/>
          <w:color w:val="4A4A4A"/>
          <w:sz w:val="15"/>
          <w:szCs w:val="15"/>
          <w:lang w:eastAsia="ru-RU"/>
        </w:rPr>
        <w:br/>
      </w:r>
    </w:p>
    <w:p w:rsidR="000B02CA" w:rsidRPr="000B02CA" w:rsidRDefault="000B02CA" w:rsidP="000B02CA">
      <w:pPr>
        <w:shd w:val="clear" w:color="auto" w:fill="FFFFFF"/>
        <w:spacing w:after="180" w:line="360" w:lineRule="atLeast"/>
        <w:jc w:val="right"/>
        <w:rPr>
          <w:rFonts w:ascii="Tahoma" w:eastAsia="Times New Roman" w:hAnsi="Tahoma" w:cs="Tahoma"/>
          <w:color w:val="4A4A4A"/>
          <w:sz w:val="15"/>
          <w:szCs w:val="15"/>
          <w:lang w:eastAsia="ru-RU"/>
        </w:rPr>
      </w:pPr>
      <w:r w:rsidRPr="000B02CA">
        <w:rPr>
          <w:rFonts w:ascii="Tahoma" w:eastAsia="Times New Roman" w:hAnsi="Tahoma" w:cs="Tahoma"/>
          <w:color w:val="4A4A4A"/>
          <w:sz w:val="24"/>
          <w:szCs w:val="24"/>
          <w:lang w:val="uk-UA" w:eastAsia="ru-RU"/>
        </w:rPr>
        <w:t>      </w:t>
      </w:r>
      <w:r w:rsidRPr="000B02CA">
        <w:rPr>
          <w:rFonts w:ascii="Tahoma" w:eastAsia="Times New Roman" w:hAnsi="Tahoma" w:cs="Tahoma"/>
          <w:color w:val="4A4A4A"/>
          <w:sz w:val="15"/>
          <w:szCs w:val="15"/>
          <w:lang w:eastAsia="ru-RU"/>
        </w:rPr>
        <w:t>                                                                                                      </w:t>
      </w:r>
      <w:r w:rsidRPr="000B02CA">
        <w:rPr>
          <w:rFonts w:ascii="Tahoma" w:eastAsia="Times New Roman" w:hAnsi="Tahoma" w:cs="Tahoma"/>
          <w:i/>
          <w:iCs/>
          <w:color w:val="4A4A4A"/>
          <w:sz w:val="15"/>
          <w:lang w:eastAsia="ru-RU"/>
        </w:rPr>
        <w:t> Додаток</w:t>
      </w:r>
    </w:p>
    <w:p w:rsidR="000B02CA" w:rsidRPr="000B02CA" w:rsidRDefault="000B02CA" w:rsidP="000B02CA">
      <w:pPr>
        <w:shd w:val="clear" w:color="auto" w:fill="FFFFFF"/>
        <w:spacing w:after="180" w:line="360" w:lineRule="atLeast"/>
        <w:jc w:val="right"/>
        <w:rPr>
          <w:rFonts w:ascii="Tahoma" w:eastAsia="Times New Roman" w:hAnsi="Tahoma" w:cs="Tahoma"/>
          <w:color w:val="4A4A4A"/>
          <w:sz w:val="15"/>
          <w:szCs w:val="15"/>
          <w:lang w:eastAsia="ru-RU"/>
        </w:rPr>
      </w:pPr>
      <w:r w:rsidRPr="000B02CA">
        <w:rPr>
          <w:rFonts w:ascii="Tahoma" w:eastAsia="Times New Roman" w:hAnsi="Tahoma" w:cs="Tahoma"/>
          <w:i/>
          <w:iCs/>
          <w:color w:val="4A4A4A"/>
          <w:sz w:val="15"/>
          <w:lang w:eastAsia="ru-RU"/>
        </w:rPr>
        <w:t>                                                                                                             до рішення виконкому</w:t>
      </w:r>
    </w:p>
    <w:p w:rsidR="000B02CA" w:rsidRPr="000B02CA" w:rsidRDefault="000B02CA" w:rsidP="000B02CA">
      <w:pPr>
        <w:shd w:val="clear" w:color="auto" w:fill="FFFFFF"/>
        <w:spacing w:after="180" w:line="360" w:lineRule="atLeast"/>
        <w:jc w:val="right"/>
        <w:rPr>
          <w:rFonts w:ascii="Tahoma" w:eastAsia="Times New Roman" w:hAnsi="Tahoma" w:cs="Tahoma"/>
          <w:color w:val="4A4A4A"/>
          <w:sz w:val="15"/>
          <w:szCs w:val="15"/>
          <w:lang w:eastAsia="ru-RU"/>
        </w:rPr>
      </w:pPr>
      <w:r w:rsidRPr="000B02CA">
        <w:rPr>
          <w:rFonts w:ascii="Tahoma" w:eastAsia="Times New Roman" w:hAnsi="Tahoma" w:cs="Tahoma"/>
          <w:i/>
          <w:iCs/>
          <w:color w:val="4A4A4A"/>
          <w:sz w:val="15"/>
          <w:lang w:eastAsia="ru-RU"/>
        </w:rPr>
        <w:t>                                                                                                             від  20.08.2013 №674</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jc w:val="center"/>
        <w:rPr>
          <w:rFonts w:ascii="Tahoma" w:eastAsia="Times New Roman" w:hAnsi="Tahoma" w:cs="Tahoma"/>
          <w:color w:val="4A4A4A"/>
          <w:sz w:val="15"/>
          <w:szCs w:val="15"/>
          <w:lang w:eastAsia="ru-RU"/>
        </w:rPr>
      </w:pPr>
      <w:r w:rsidRPr="000B02CA">
        <w:rPr>
          <w:rFonts w:ascii="Tahoma" w:eastAsia="Times New Roman" w:hAnsi="Tahoma" w:cs="Tahoma"/>
          <w:b/>
          <w:bCs/>
          <w:color w:val="4A4A4A"/>
          <w:sz w:val="15"/>
          <w:lang w:eastAsia="ru-RU"/>
        </w:rPr>
        <w:t>Інформація</w:t>
      </w:r>
    </w:p>
    <w:p w:rsidR="000B02CA" w:rsidRPr="000B02CA" w:rsidRDefault="000B02CA" w:rsidP="000B02CA">
      <w:pPr>
        <w:shd w:val="clear" w:color="auto" w:fill="FFFFFF"/>
        <w:spacing w:after="180" w:line="360" w:lineRule="atLeast"/>
        <w:jc w:val="center"/>
        <w:rPr>
          <w:rFonts w:ascii="Tahoma" w:eastAsia="Times New Roman" w:hAnsi="Tahoma" w:cs="Tahoma"/>
          <w:color w:val="4A4A4A"/>
          <w:sz w:val="15"/>
          <w:szCs w:val="15"/>
          <w:lang w:eastAsia="ru-RU"/>
        </w:rPr>
      </w:pPr>
      <w:r w:rsidRPr="000B02CA">
        <w:rPr>
          <w:rFonts w:ascii="Tahoma" w:eastAsia="Times New Roman" w:hAnsi="Tahoma" w:cs="Tahoma"/>
          <w:b/>
          <w:bCs/>
          <w:color w:val="4A4A4A"/>
          <w:sz w:val="15"/>
          <w:lang w:eastAsia="ru-RU"/>
        </w:rPr>
        <w:t>про роботу тимчасової комісії з питання використання об’єктів та земельних</w:t>
      </w:r>
    </w:p>
    <w:p w:rsidR="000B02CA" w:rsidRPr="000B02CA" w:rsidRDefault="000B02CA" w:rsidP="000B02CA">
      <w:pPr>
        <w:shd w:val="clear" w:color="auto" w:fill="FFFFFF"/>
        <w:spacing w:after="180" w:line="360" w:lineRule="atLeast"/>
        <w:jc w:val="center"/>
        <w:rPr>
          <w:rFonts w:ascii="Tahoma" w:eastAsia="Times New Roman" w:hAnsi="Tahoma" w:cs="Tahoma"/>
          <w:color w:val="4A4A4A"/>
          <w:sz w:val="15"/>
          <w:szCs w:val="15"/>
          <w:lang w:eastAsia="ru-RU"/>
        </w:rPr>
      </w:pPr>
      <w:r w:rsidRPr="000B02CA">
        <w:rPr>
          <w:rFonts w:ascii="Tahoma" w:eastAsia="Times New Roman" w:hAnsi="Tahoma" w:cs="Tahoma"/>
          <w:b/>
          <w:bCs/>
          <w:color w:val="4A4A4A"/>
          <w:sz w:val="15"/>
          <w:lang w:eastAsia="ru-RU"/>
        </w:rPr>
        <w:lastRenderedPageBreak/>
        <w:t>ділянок, які не відповідають генплану м.Сєвєродонецька</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Розпорядженням міського голови №219 від 21.06.2013р., з метою врегулювання питання використання існуючих об’єктів та земельних ділянок, відведених під будівництво, розташування яких не відповідає генплану м.Сєвєродонецька, була створена тимчасова комісія, до складу якої увійшли спеціалісти відділу містобудування та архітектури, відділу земельних відносин, відділу освіти, Фонду комунального майна, БТІ, юридичного відділу та інші.</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Метою роботи комісії було проведення аналізу використання існуючих об’єктів та земельних ділянок, наданих під будівництво, які не відповідають генплану м.Сєвєродонецька, та підготовка пропозицій щодо можливості надання містобудівних умов та обмежень для будівництва та реконструкції таких об’єктів згідно діючого законодавства.</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Комісією було проведено 5 засідань. За дорученням комісії відділом містобудування та архітектури був складений перелік діючих та недіючих дошкільних навчальних закладів та було проаналізоване їх розміщення в мікрорайонах та кварталах міста на графічному матеріалі. Також був складений перелік відведених земельних ділянок, які не відповідають генплану.</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КП «Сєвєродонецьке БТІ» був підготовлений перелік власників діючих та недіючих  дошкільних навчальних закладів.</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Відділом освіти був проведений аналіз статистичних даних для визначення  потреби  в дошкільних навчальних закладах на найближчі роки.  Виходячи зі статистичних даних в місті недостатньо місць в дошкільних навчальних закладах , особливо в ясельних групах. Потреба місць в дошкільних навчальних закладах  така: на кінець 2013року-10-11 груп, до кінця 2014 року – 10-11 груп, до 2015 року – 10-11 груп. Особлива проблема: в старій частині міста немає дошкільних навчальних закладів, а кількість дітей найбільша  в цій частині міста.</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Відділом містобудування та архітектури були проведені консультації з розробником генплану – Харківським інститутом «Укрміськбудпроект» щодо можливості використання недіючих дошкільних навчальних закладів, які не відповідають генплану, до внесення змін до генплану. Спеціалісти інституту вважають, що неможливо внести зміни до генплану та ліквідувати дошкільні навчальні заклади, особливо в старій частині міста, такий генплан не буде відповідати нормам та не пройде експертизу. Необхідно залишити в генплані існуючі дошкільні навчальні заклади, в зв’язку з цим не зменшувати земельні ділянки, закріплені за дошкільними навчальними закладами.</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Комісія дійшла висновку, що виходячи зі статистичних даних, наданих відділом освіти,  та пропозицій розробника генплану - Харківського інституту «Укрміськбудпроект», неможливо надавати дозволи на перепрофілювання та реконструкцію колишніх дошкільних навчальних закладів , поки не будуть внесені зміни до генплану міста, та не буде визначено, які дошкільні навчальні заклади можливо перепрофілювати, а які повинні залишитись. Відділ містобудування та архітектури повинен діяти відповідно до діючого містобудівного законодавства і не видавати містобудівні умови та обмеження на реконструкцію, перепрофілювання колишніх дошкільних навчальних закладів та на забудову їх територій, поки в генплані такі об’єкти будуть визначені як дошкільні навчальні заклади. Також, необхідно зберегти земельні ділянки, закріплені за ДНЗ.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Комісією запропоновано провести інвентаризацію всіх дошкільних навчальних закладів, визначити їх власників, технічний стан та можливості для їх повернення до мережі  дошкільних навчальних закладів.</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lastRenderedPageBreak/>
        <w:t>          За даними відділу містобудування та архітектури, у фізичних та юридичних осіб в користуванні на умовах оренди знаходяться  11 земельних ділянок, які не відповідають генплану і розташовані на вільних від забудови територіях та не мають істотного впливу на існуючу забудову. Комісією пропонується, за ініціативою землекористувачів, укласти додаткові угоди про тимчасову забудову ділянок до внесення змін до генплану або до початку забудови території згідно з генпланом. Для тих землекористувачів, які укладуть додаткові угоди, відділ містобудування та архітектури буде надавати містобудівні умови та обмеження згідно функціонального призначення земельних ділянок та містобудівних норм. За дорученням комісії, відділом містобудування та архітектури підготовлений проект рішення з цього питання на розгляд чергової сесії міської ради.</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Заступник міського голови                                               В.Г.Кравченко</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w:t>
      </w:r>
    </w:p>
    <w:p w:rsidR="000B02CA" w:rsidRPr="000B02CA" w:rsidRDefault="000B02CA" w:rsidP="000B02CA">
      <w:pPr>
        <w:shd w:val="clear" w:color="auto" w:fill="FFFFFF"/>
        <w:spacing w:after="180" w:line="360" w:lineRule="atLeast"/>
        <w:rPr>
          <w:rFonts w:ascii="Tahoma" w:eastAsia="Times New Roman" w:hAnsi="Tahoma" w:cs="Tahoma"/>
          <w:color w:val="4A4A4A"/>
          <w:sz w:val="15"/>
          <w:szCs w:val="15"/>
          <w:lang w:eastAsia="ru-RU"/>
        </w:rPr>
      </w:pPr>
      <w:r w:rsidRPr="000B02CA">
        <w:rPr>
          <w:rFonts w:ascii="Tahoma" w:eastAsia="Times New Roman" w:hAnsi="Tahoma" w:cs="Tahoma"/>
          <w:color w:val="4A4A4A"/>
          <w:sz w:val="15"/>
          <w:szCs w:val="15"/>
          <w:lang w:eastAsia="ru-RU"/>
        </w:rPr>
        <w:t>             Керуючий справами виконкому                                        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02CA"/>
    <w:rsid w:val="000B02CA"/>
    <w:rsid w:val="002D0A01"/>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B02C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02CA"/>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02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02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B02C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0B02C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02CA"/>
  </w:style>
  <w:style w:type="character" w:styleId="a4">
    <w:name w:val="Emphasis"/>
    <w:basedOn w:val="a0"/>
    <w:uiPriority w:val="20"/>
    <w:qFormat/>
    <w:rsid w:val="000B02CA"/>
    <w:rPr>
      <w:i/>
      <w:iCs/>
    </w:rPr>
  </w:style>
  <w:style w:type="character" w:styleId="a5">
    <w:name w:val="Strong"/>
    <w:basedOn w:val="a0"/>
    <w:uiPriority w:val="22"/>
    <w:qFormat/>
    <w:rsid w:val="000B02CA"/>
    <w:rPr>
      <w:b/>
      <w:bCs/>
    </w:rPr>
  </w:style>
</w:styles>
</file>

<file path=word/webSettings.xml><?xml version="1.0" encoding="utf-8"?>
<w:webSettings xmlns:r="http://schemas.openxmlformats.org/officeDocument/2006/relationships" xmlns:w="http://schemas.openxmlformats.org/wordprocessingml/2006/main">
  <w:divs>
    <w:div w:id="5038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Company>Северодонецкие вести</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2016-08-29T06:38:00Z</dcterms:created>
  <dcterms:modified xsi:type="dcterms:W3CDTF">2016-08-29T06:39:00Z</dcterms:modified>
</cp:coreProperties>
</file>