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color w:val="000000"/>
          <w:spacing w:val="7"/>
          <w:sz w:val="28"/>
          <w:szCs w:val="26"/>
          <w:lang w:val="uk-UA"/>
        </w:rPr>
      </w:pPr>
      <w:r>
        <w:rPr>
          <w:b/>
          <w:bCs/>
          <w:color w:val="000000"/>
          <w:spacing w:val="7"/>
          <w:sz w:val="28"/>
          <w:szCs w:val="26"/>
          <w:lang w:val="uk-UA"/>
        </w:rPr>
        <w:t>СЄВЄРОДОНЕЦЬКА МІСЬКА РАДА</w:t>
      </w:r>
    </w:p>
    <w:p>
      <w:pPr>
        <w:pStyle w:val="Normal"/>
        <w:spacing w:before="5" w:after="0"/>
        <w:jc w:val="center"/>
        <w:rPr>
          <w:b/>
          <w:b/>
          <w:bCs/>
          <w:color w:val="000000"/>
          <w:spacing w:val="-1"/>
          <w:sz w:val="28"/>
          <w:lang w:val="uk-UA"/>
        </w:rPr>
      </w:pPr>
      <w:r>
        <w:rPr>
          <w:b/>
          <w:bCs/>
          <w:color w:val="000000"/>
          <w:spacing w:val="-1"/>
          <w:sz w:val="28"/>
          <w:lang w:val="uk-UA"/>
        </w:rPr>
        <w:t>СЬОМОГО СКЛИКАННЯ</w:t>
      </w:r>
    </w:p>
    <w:p>
      <w:pPr>
        <w:pStyle w:val="Normal"/>
        <w:spacing w:lineRule="auto" w:line="480" w:before="5" w:after="0"/>
        <w:jc w:val="center"/>
        <w:rPr/>
      </w:pPr>
      <w:r>
        <w:rPr>
          <w:b/>
          <w:bCs/>
          <w:color w:val="000000"/>
          <w:spacing w:val="-3"/>
          <w:sz w:val="28"/>
          <w:szCs w:val="28"/>
          <w:lang w:val="uk-UA"/>
        </w:rPr>
        <w:t>Шістдесят третя (позачергова)</w:t>
      </w:r>
      <w:r>
        <w:rPr>
          <w:b/>
          <w:bCs/>
          <w:color w:val="000000"/>
          <w:spacing w:val="-3"/>
          <w:sz w:val="28"/>
          <w:szCs w:val="28"/>
          <w:lang w:val="uk-UA"/>
        </w:rPr>
        <w:t xml:space="preserve"> сесія</w:t>
      </w:r>
    </w:p>
    <w:p>
      <w:pPr>
        <w:pStyle w:val="Normal"/>
        <w:spacing w:lineRule="auto" w:line="480"/>
        <w:jc w:val="center"/>
        <w:rPr/>
      </w:pPr>
      <w:r>
        <w:rPr>
          <w:b/>
          <w:bCs/>
          <w:color w:val="000000"/>
          <w:spacing w:val="-3"/>
          <w:sz w:val="28"/>
          <w:lang w:val="uk-UA"/>
        </w:rPr>
        <w:t>РІШЕННЯ</w:t>
      </w:r>
      <w:r>
        <w:rPr>
          <w:b/>
          <w:bCs/>
          <w:color w:val="000000"/>
          <w:spacing w:val="-3"/>
          <w:lang w:val="uk-UA"/>
        </w:rPr>
        <w:t xml:space="preserve">    </w:t>
      </w:r>
      <w:r>
        <w:rPr>
          <w:b/>
          <w:color w:val="000000"/>
          <w:spacing w:val="-3"/>
          <w:lang w:val="uk-UA"/>
        </w:rPr>
        <w:t>№</w:t>
      </w:r>
      <w:r>
        <w:rPr>
          <w:color w:val="000000"/>
          <w:spacing w:val="-3"/>
          <w:lang w:val="uk-UA"/>
        </w:rPr>
        <w:t xml:space="preserve">  </w:t>
      </w:r>
      <w:r>
        <w:rPr>
          <w:b/>
          <w:color w:val="000000"/>
          <w:spacing w:val="-3"/>
          <w:sz w:val="28"/>
          <w:szCs w:val="28"/>
          <w:lang w:val="uk-UA"/>
        </w:rPr>
        <w:t>3681</w:t>
      </w:r>
    </w:p>
    <w:p>
      <w:pPr>
        <w:pStyle w:val="Normal"/>
        <w:ind w:left="34" w:right="0" w:hanging="0"/>
        <w:rPr/>
      </w:pPr>
      <w:r>
        <w:rPr>
          <w:b/>
          <w:bCs/>
          <w:color w:val="000000"/>
          <w:lang w:val="uk-UA"/>
        </w:rPr>
        <w:t>«</w:t>
      </w:r>
      <w:r>
        <w:rPr>
          <w:bCs/>
          <w:color w:val="000000"/>
          <w:lang w:val="uk-UA"/>
        </w:rPr>
        <w:t xml:space="preserve"> </w:t>
      </w:r>
      <w:r>
        <w:rPr>
          <w:b/>
          <w:bCs/>
          <w:color w:val="000000"/>
          <w:lang w:val="uk-UA"/>
        </w:rPr>
        <w:t>10</w:t>
      </w:r>
      <w:r>
        <w:rPr>
          <w:bCs/>
          <w:color w:val="000000"/>
          <w:lang w:val="uk-UA"/>
        </w:rPr>
        <w:t xml:space="preserve"> </w:t>
      </w:r>
      <w:r>
        <w:rPr>
          <w:b/>
          <w:bCs/>
          <w:color w:val="000000"/>
          <w:lang w:val="uk-UA"/>
        </w:rPr>
        <w:t xml:space="preserve">» </w:t>
      </w:r>
      <w:r>
        <w:rPr>
          <w:bCs/>
          <w:color w:val="000000"/>
          <w:u w:val="single"/>
          <w:lang w:val="uk-UA"/>
        </w:rPr>
        <w:t xml:space="preserve">  </w:t>
      </w:r>
      <w:r>
        <w:rPr>
          <w:b/>
          <w:bCs/>
          <w:color w:val="000000"/>
          <w:u w:val="single"/>
          <w:lang w:val="uk-UA"/>
        </w:rPr>
        <w:t>травня</w:t>
      </w:r>
      <w:r>
        <w:rPr>
          <w:bCs/>
          <w:color w:val="000000"/>
          <w:u w:val="single"/>
          <w:lang w:val="uk-UA"/>
        </w:rPr>
        <w:t xml:space="preserve">  </w:t>
      </w:r>
      <w:r>
        <w:rPr>
          <w:b/>
          <w:bCs/>
          <w:color w:val="000000"/>
          <w:lang w:val="uk-UA"/>
        </w:rPr>
        <w:t xml:space="preserve"> 201</w:t>
      </w:r>
      <w:r>
        <w:rPr>
          <w:b/>
          <w:bCs/>
          <w:color w:val="000000"/>
          <w:lang w:val="en-US"/>
        </w:rPr>
        <w:t>9</w:t>
      </w:r>
      <w:r>
        <w:rPr>
          <w:b/>
          <w:bCs/>
          <w:color w:val="000000"/>
          <w:lang w:val="uk-UA"/>
        </w:rPr>
        <w:t xml:space="preserve"> р. </w:t>
      </w:r>
      <w:r>
        <w:rPr>
          <w:color w:val="000000"/>
          <w:spacing w:val="-13"/>
          <w:lang w:val="uk-UA"/>
        </w:rPr>
        <w:t xml:space="preserve"> </w:t>
      </w:r>
    </w:p>
    <w:p>
      <w:pPr>
        <w:pStyle w:val="Normal"/>
        <w:spacing w:lineRule="auto" w:line="360"/>
        <w:ind w:left="34" w:right="0" w:hanging="0"/>
        <w:rPr/>
      </w:pPr>
      <w:r>
        <w:rPr>
          <w:b/>
          <w:bCs/>
          <w:color w:val="000000"/>
          <w:spacing w:val="-13"/>
          <w:lang w:val="uk-UA"/>
        </w:rPr>
        <w:t>м</w:t>
      </w:r>
      <w:r>
        <w:rPr>
          <w:b/>
          <w:bCs/>
          <w:color w:val="000000"/>
          <w:spacing w:val="-15"/>
        </w:rPr>
        <w:t xml:space="preserve">.  Сєвєродонецьк </w:t>
      </w:r>
    </w:p>
    <w:p>
      <w:pPr>
        <w:pStyle w:val="Normal"/>
        <w:spacing w:lineRule="auto" w:line="360"/>
        <w:ind w:left="34" w:right="0" w:hanging="0"/>
        <w:rPr>
          <w:b/>
          <w:b/>
          <w:bCs/>
          <w:color w:val="000000"/>
          <w:spacing w:val="-15"/>
          <w:lang w:val="en-US"/>
        </w:rPr>
      </w:pPr>
      <w:r>
        <w:rPr>
          <w:b/>
          <w:bCs/>
          <w:color w:val="000000"/>
          <w:spacing w:val="-15"/>
          <w:lang w:val="en-US"/>
        </w:rPr>
      </w:r>
    </w:p>
    <w:tbl>
      <w:tblPr>
        <w:tblW w:w="9854" w:type="dxa"/>
        <w:jc w:val="left"/>
        <w:tblInd w:w="-108" w:type="dxa"/>
        <w:tblCellMar>
          <w:top w:w="0" w:type="dxa"/>
          <w:left w:w="108" w:type="dxa"/>
          <w:bottom w:w="0" w:type="dxa"/>
          <w:right w:w="108" w:type="dxa"/>
        </w:tblCellMar>
      </w:tblPr>
      <w:tblGrid>
        <w:gridCol w:w="4644"/>
        <w:gridCol w:w="1925"/>
        <w:gridCol w:w="3285"/>
      </w:tblGrid>
      <w:tr>
        <w:trPr/>
        <w:tc>
          <w:tcPr>
            <w:tcW w:w="4644" w:type="dxa"/>
            <w:tcBorders/>
            <w:shd w:fill="auto" w:val="clear"/>
          </w:tcPr>
          <w:p>
            <w:pPr>
              <w:pStyle w:val="Normal"/>
              <w:jc w:val="both"/>
              <w:rPr>
                <w:lang w:val="uk-UA"/>
              </w:rPr>
            </w:pPr>
            <w:r>
              <w:rPr>
                <w:lang w:val="uk-UA"/>
              </w:rPr>
              <w:t>Звіт п</w:t>
            </w:r>
            <w:r>
              <w:rPr>
                <w:lang w:val="uk-UA"/>
              </w:rPr>
              <w:t xml:space="preserve">ро виконання Програми інформа-тизації  Сєвєродонецької міської ради </w:t>
            </w:r>
            <w:r>
              <w:rPr>
                <w:lang w:val="uk-UA"/>
              </w:rPr>
              <w:t>з</w:t>
            </w:r>
            <w:r>
              <w:rPr>
                <w:lang w:val="uk-UA"/>
              </w:rPr>
              <w:t>а 2018 рік</w:t>
            </w:r>
          </w:p>
          <w:p>
            <w:pPr>
              <w:pStyle w:val="Normal"/>
              <w:jc w:val="both"/>
              <w:rPr>
                <w:lang w:val="en-US"/>
              </w:rPr>
            </w:pPr>
            <w:r>
              <w:rPr>
                <w:lang w:val="en-US"/>
              </w:rPr>
            </w:r>
          </w:p>
        </w:tc>
        <w:tc>
          <w:tcPr>
            <w:tcW w:w="1925" w:type="dxa"/>
            <w:tcBorders/>
            <w:shd w:fill="auto" w:val="clear"/>
          </w:tcPr>
          <w:p>
            <w:pPr>
              <w:pStyle w:val="2"/>
              <w:snapToGrid w:val="false"/>
              <w:spacing w:lineRule="auto" w:line="240" w:before="0" w:after="0"/>
              <w:ind w:left="0" w:right="0" w:hanging="576"/>
              <w:rPr>
                <w:lang w:val="en-US"/>
              </w:rPr>
            </w:pPr>
            <w:r>
              <w:rPr>
                <w:lang w:val="en-US"/>
              </w:rPr>
            </w:r>
          </w:p>
        </w:tc>
        <w:tc>
          <w:tcPr>
            <w:tcW w:w="3285" w:type="dxa"/>
            <w:tcBorders/>
            <w:shd w:fill="auto" w:val="clear"/>
          </w:tcPr>
          <w:p>
            <w:pPr>
              <w:pStyle w:val="2"/>
              <w:snapToGrid w:val="false"/>
              <w:spacing w:lineRule="auto" w:line="240" w:before="0" w:after="0"/>
              <w:ind w:left="0" w:right="0" w:hanging="576"/>
              <w:rPr/>
            </w:pPr>
            <w:r>
              <w:rPr/>
            </w:r>
          </w:p>
        </w:tc>
      </w:tr>
    </w:tbl>
    <w:p>
      <w:pPr>
        <w:pStyle w:val="2"/>
        <w:spacing w:lineRule="auto" w:line="240" w:before="120" w:after="0"/>
        <w:ind w:left="0" w:right="0" w:firstLine="720"/>
        <w:jc w:val="both"/>
        <w:rPr/>
      </w:pPr>
      <w:r>
        <w:rPr/>
      </w:r>
    </w:p>
    <w:p>
      <w:pPr>
        <w:pStyle w:val="2"/>
        <w:spacing w:lineRule="auto" w:line="240" w:before="120" w:after="0"/>
        <w:ind w:left="0" w:right="0" w:firstLine="720"/>
        <w:jc w:val="both"/>
        <w:rPr/>
      </w:pPr>
      <w:r>
        <w:rPr/>
        <w:t>Керуючись ст. 26 Закону України «Про місцеве самоврядування в Україні»,</w:t>
        <w:br/>
        <w:t>Сєвєродонецька міська рада</w:t>
      </w:r>
    </w:p>
    <w:p>
      <w:pPr>
        <w:pStyle w:val="Normal"/>
        <w:spacing w:before="240" w:after="240"/>
        <w:ind w:left="426" w:right="0" w:hanging="0"/>
        <w:rPr>
          <w:b/>
          <w:b/>
          <w:lang w:val="uk-UA"/>
        </w:rPr>
      </w:pPr>
      <w:r>
        <w:rPr>
          <w:b/>
          <w:lang w:val="uk-UA"/>
        </w:rPr>
        <w:t>ВИРІШИЛА:</w:t>
      </w:r>
    </w:p>
    <w:p>
      <w:pPr>
        <w:pStyle w:val="Normal"/>
        <w:widowControl w:val="false"/>
        <w:numPr>
          <w:ilvl w:val="0"/>
          <w:numId w:val="2"/>
        </w:numPr>
        <w:tabs>
          <w:tab w:val="clear" w:pos="709"/>
          <w:tab w:val="left" w:pos="426" w:leader="none"/>
        </w:tabs>
        <w:autoSpaceDE w:val="false"/>
        <w:spacing w:before="0" w:after="120"/>
        <w:ind w:left="425" w:right="0" w:hanging="425"/>
        <w:jc w:val="both"/>
        <w:rPr>
          <w:lang w:val="uk-UA"/>
        </w:rPr>
      </w:pPr>
      <w:r>
        <w:rPr>
          <w:lang w:val="uk-UA"/>
        </w:rPr>
        <w:t>Затвердити</w:t>
      </w:r>
      <w:r>
        <w:rPr>
          <w:lang w:val="uk-UA"/>
        </w:rPr>
        <w:t xml:space="preserve"> звіт про результати виконання «Програми інформатизації Сєвєродонецької міської ради </w:t>
      </w:r>
      <w:r>
        <w:rPr>
          <w:lang w:val="uk-UA"/>
        </w:rPr>
        <w:t>з</w:t>
      </w:r>
      <w:r>
        <w:rPr>
          <w:lang w:val="uk-UA"/>
        </w:rPr>
        <w:t xml:space="preserve">а 2018 рік» (Додається) </w:t>
      </w:r>
      <w:r>
        <w:rPr>
          <w:lang w:val="uk-UA"/>
        </w:rPr>
        <w:t>та признати його задовільним</w:t>
      </w:r>
      <w:r>
        <w:rPr>
          <w:lang w:val="uk-UA"/>
        </w:rPr>
        <w:t>.</w:t>
      </w:r>
    </w:p>
    <w:p>
      <w:pPr>
        <w:pStyle w:val="Normal"/>
        <w:widowControl w:val="false"/>
        <w:numPr>
          <w:ilvl w:val="0"/>
          <w:numId w:val="2"/>
        </w:numPr>
        <w:tabs>
          <w:tab w:val="clear" w:pos="709"/>
          <w:tab w:val="left" w:pos="426" w:leader="none"/>
        </w:tabs>
        <w:autoSpaceDE w:val="false"/>
        <w:spacing w:before="120" w:after="120"/>
        <w:ind w:left="426" w:right="0" w:hanging="426"/>
        <w:jc w:val="both"/>
        <w:rPr>
          <w:lang w:val="uk-UA"/>
        </w:rPr>
      </w:pPr>
      <w:r>
        <w:rPr>
          <w:lang w:val="uk-UA"/>
        </w:rPr>
        <w:t>Зняти з контролю як виконане рішення 38 сесії міської ради сьомого скликання</w:t>
        <w:br/>
        <w:t>від 30 січня 2018 року № 2227 «Про затвердження Програми інформатизації Сєвєродонецької міської ради на 2018 рік».</w:t>
      </w:r>
    </w:p>
    <w:p>
      <w:pPr>
        <w:pStyle w:val="Normal"/>
        <w:widowControl w:val="false"/>
        <w:numPr>
          <w:ilvl w:val="0"/>
          <w:numId w:val="2"/>
        </w:numPr>
        <w:tabs>
          <w:tab w:val="clear" w:pos="709"/>
          <w:tab w:val="left" w:pos="426" w:leader="none"/>
        </w:tabs>
        <w:autoSpaceDE w:val="false"/>
        <w:spacing w:before="120" w:after="120"/>
        <w:ind w:left="426" w:right="0" w:hanging="426"/>
        <w:jc w:val="both"/>
        <w:rPr>
          <w:lang w:val="uk-UA"/>
        </w:rPr>
      </w:pPr>
      <w:r>
        <w:rPr>
          <w:lang w:val="uk-UA"/>
        </w:rPr>
        <w:t>Дане рішення підлягає оприлюдненню.</w:t>
      </w:r>
    </w:p>
    <w:p>
      <w:pPr>
        <w:pStyle w:val="Normal"/>
        <w:widowControl w:val="false"/>
        <w:numPr>
          <w:ilvl w:val="0"/>
          <w:numId w:val="2"/>
        </w:numPr>
        <w:tabs>
          <w:tab w:val="clear" w:pos="709"/>
          <w:tab w:val="left" w:pos="426" w:leader="none"/>
        </w:tabs>
        <w:autoSpaceDE w:val="false"/>
        <w:spacing w:before="120" w:after="120"/>
        <w:ind w:left="426" w:right="0" w:hanging="426"/>
        <w:jc w:val="both"/>
        <w:rPr>
          <w:lang w:val="uk-UA"/>
        </w:rPr>
      </w:pPr>
      <w:r>
        <w:rPr>
          <w:lang w:val="uk-UA"/>
        </w:rPr>
        <w:t>Контроль за виконанням даного рішення покласти на комісію з питань законності, депутатської діяльності і етики.</w:t>
      </w:r>
    </w:p>
    <w:p>
      <w:pPr>
        <w:pStyle w:val="Normal"/>
        <w:widowControl w:val="false"/>
        <w:autoSpaceDE w:val="false"/>
        <w:spacing w:before="120" w:after="120"/>
        <w:jc w:val="both"/>
        <w:rPr>
          <w:b/>
          <w:b/>
        </w:rPr>
      </w:pPr>
      <w:r>
        <w:rPr>
          <w:b/>
        </w:rPr>
      </w:r>
    </w:p>
    <w:tbl>
      <w:tblPr>
        <w:tblW w:w="9145" w:type="dxa"/>
        <w:jc w:val="left"/>
        <w:tblInd w:w="0" w:type="dxa"/>
        <w:tblCellMar>
          <w:top w:w="0" w:type="dxa"/>
          <w:left w:w="108" w:type="dxa"/>
          <w:bottom w:w="0" w:type="dxa"/>
          <w:right w:w="108" w:type="dxa"/>
        </w:tblCellMar>
      </w:tblPr>
      <w:tblGrid>
        <w:gridCol w:w="4962"/>
        <w:gridCol w:w="1842"/>
        <w:gridCol w:w="2341"/>
      </w:tblGrid>
      <w:tr>
        <w:trPr>
          <w:trHeight w:val="823" w:hRule="atLeast"/>
        </w:trPr>
        <w:tc>
          <w:tcPr>
            <w:tcW w:w="4962" w:type="dxa"/>
            <w:tcBorders/>
            <w:shd w:fill="auto" w:val="clear"/>
          </w:tcPr>
          <w:p>
            <w:pPr>
              <w:pStyle w:val="Normal"/>
              <w:tabs>
                <w:tab w:val="clear" w:pos="709"/>
                <w:tab w:val="left" w:pos="180" w:leader="none"/>
              </w:tabs>
              <w:jc w:val="both"/>
              <w:rPr>
                <w:b/>
                <w:b/>
                <w:lang w:val="uk-UA"/>
              </w:rPr>
            </w:pPr>
            <w:r>
              <w:rPr>
                <w:b/>
                <w:lang w:val="uk-UA"/>
              </w:rPr>
              <w:t>Секретар ради,</w:t>
            </w:r>
          </w:p>
          <w:p>
            <w:pPr>
              <w:pStyle w:val="Normal"/>
              <w:tabs>
                <w:tab w:val="clear" w:pos="709"/>
                <w:tab w:val="left" w:pos="180" w:leader="none"/>
              </w:tabs>
              <w:jc w:val="both"/>
              <w:rPr/>
            </w:pPr>
            <w:r>
              <w:rPr>
                <w:b/>
                <w:lang w:val="uk-UA"/>
              </w:rPr>
              <w:t>в.о. міського голови</w:t>
            </w:r>
            <w:r>
              <w:rPr>
                <w:lang w:val="uk-UA"/>
              </w:rPr>
              <w:t xml:space="preserve"> </w:t>
            </w:r>
          </w:p>
        </w:tc>
        <w:tc>
          <w:tcPr>
            <w:tcW w:w="1842" w:type="dxa"/>
            <w:tcBorders/>
            <w:shd w:fill="auto" w:val="clear"/>
          </w:tcPr>
          <w:p>
            <w:pPr>
              <w:pStyle w:val="Normal"/>
              <w:tabs>
                <w:tab w:val="clear" w:pos="709"/>
                <w:tab w:val="left" w:pos="0" w:leader="none"/>
              </w:tabs>
              <w:snapToGrid w:val="false"/>
              <w:jc w:val="both"/>
              <w:rPr>
                <w:color w:val="000000"/>
                <w:lang w:val="uk-UA"/>
              </w:rPr>
            </w:pPr>
            <w:r>
              <w:rPr>
                <w:color w:val="000000"/>
                <w:lang w:val="uk-UA"/>
              </w:rPr>
            </w:r>
          </w:p>
        </w:tc>
        <w:tc>
          <w:tcPr>
            <w:tcW w:w="2341" w:type="dxa"/>
            <w:tcBorders/>
            <w:shd w:fill="auto" w:val="clear"/>
          </w:tcPr>
          <w:p>
            <w:pPr>
              <w:pStyle w:val="Normal"/>
              <w:tabs>
                <w:tab w:val="clear" w:pos="709"/>
                <w:tab w:val="left" w:pos="0" w:leader="none"/>
              </w:tabs>
              <w:jc w:val="both"/>
              <w:rPr/>
            </w:pPr>
            <w:r>
              <w:rPr>
                <w:b/>
              </w:rPr>
              <w:t>В.</w:t>
            </w:r>
            <w:r>
              <w:rPr>
                <w:b/>
                <w:lang w:val="uk-UA"/>
              </w:rPr>
              <w:t>П. Ткачук</w:t>
            </w:r>
          </w:p>
        </w:tc>
      </w:tr>
      <w:tr>
        <w:trPr>
          <w:trHeight w:val="823" w:hRule="atLeast"/>
        </w:trPr>
        <w:tc>
          <w:tcPr>
            <w:tcW w:w="4962" w:type="dxa"/>
            <w:tcBorders/>
            <w:shd w:fill="auto" w:val="clear"/>
          </w:tcPr>
          <w:p>
            <w:pPr>
              <w:pStyle w:val="Normal"/>
              <w:shd w:fill="FFFFFF" w:val="clear"/>
              <w:tabs>
                <w:tab w:val="clear" w:pos="709"/>
                <w:tab w:val="left" w:pos="0" w:leader="none"/>
              </w:tabs>
              <w:jc w:val="both"/>
              <w:rPr>
                <w:b/>
                <w:b/>
                <w:color w:val="FFFFFF"/>
                <w:lang w:val="uk-UA"/>
              </w:rPr>
            </w:pPr>
            <w:r>
              <w:rPr>
                <w:b/>
                <w:color w:val="FFFFFF"/>
                <w:lang w:val="uk-UA"/>
              </w:rPr>
              <w:t>Підготував:</w:t>
            </w:r>
          </w:p>
        </w:tc>
        <w:tc>
          <w:tcPr>
            <w:tcW w:w="1842" w:type="dxa"/>
            <w:tcBorders/>
            <w:shd w:fill="auto" w:val="clear"/>
          </w:tcPr>
          <w:p>
            <w:pPr>
              <w:pStyle w:val="Normal"/>
              <w:tabs>
                <w:tab w:val="clear" w:pos="709"/>
                <w:tab w:val="left" w:pos="0" w:leader="none"/>
              </w:tabs>
              <w:snapToGrid w:val="false"/>
              <w:jc w:val="both"/>
              <w:rPr>
                <w:color w:val="FFFFFF"/>
                <w:lang w:val="uk-UA"/>
              </w:rPr>
            </w:pPr>
            <w:r>
              <w:rPr>
                <w:color w:val="FFFFFF"/>
                <w:lang w:val="uk-UA"/>
              </w:rPr>
            </w:r>
          </w:p>
        </w:tc>
        <w:tc>
          <w:tcPr>
            <w:tcW w:w="2341" w:type="dxa"/>
            <w:tcBorders/>
            <w:shd w:fill="auto" w:val="clear"/>
          </w:tcPr>
          <w:p>
            <w:pPr>
              <w:pStyle w:val="Normal"/>
              <w:tabs>
                <w:tab w:val="clear" w:pos="709"/>
                <w:tab w:val="left" w:pos="0" w:leader="none"/>
              </w:tabs>
              <w:snapToGrid w:val="false"/>
              <w:jc w:val="both"/>
              <w:rPr>
                <w:color w:val="FFFFFF"/>
                <w:lang w:val="uk-UA"/>
              </w:rPr>
            </w:pPr>
            <w:r>
              <w:rPr>
                <w:color w:val="FFFFFF"/>
                <w:lang w:val="uk-UA"/>
              </w:rPr>
            </w:r>
          </w:p>
        </w:tc>
      </w:tr>
      <w:tr>
        <w:trPr>
          <w:trHeight w:val="823" w:hRule="atLeast"/>
        </w:trPr>
        <w:tc>
          <w:tcPr>
            <w:tcW w:w="4962" w:type="dxa"/>
            <w:tcBorders/>
            <w:shd w:fill="auto" w:val="clear"/>
          </w:tcPr>
          <w:p>
            <w:pPr>
              <w:pStyle w:val="Normal"/>
              <w:shd w:fill="FFFFFF" w:val="clear"/>
              <w:tabs>
                <w:tab w:val="clear" w:pos="709"/>
                <w:tab w:val="left" w:pos="0" w:leader="none"/>
              </w:tabs>
              <w:spacing w:before="0" w:after="120"/>
              <w:jc w:val="both"/>
              <w:rPr>
                <w:color w:val="FFFFFF"/>
                <w:lang w:val="uk-UA"/>
              </w:rPr>
            </w:pPr>
            <w:r>
              <w:rPr>
                <w:color w:val="FFFFFF"/>
                <w:lang w:val="uk-UA"/>
              </w:rPr>
              <w:t>В.о. начальника відділу АСУ та ТО</w:t>
            </w:r>
          </w:p>
        </w:tc>
        <w:tc>
          <w:tcPr>
            <w:tcW w:w="1842" w:type="dxa"/>
            <w:tcBorders/>
            <w:shd w:fill="auto" w:val="clear"/>
          </w:tcPr>
          <w:p>
            <w:pPr>
              <w:pStyle w:val="Normal"/>
              <w:tabs>
                <w:tab w:val="clear" w:pos="709"/>
                <w:tab w:val="left" w:pos="0" w:leader="none"/>
              </w:tabs>
              <w:snapToGrid w:val="false"/>
              <w:spacing w:before="0" w:after="120"/>
              <w:jc w:val="both"/>
              <w:rPr>
                <w:color w:val="FFFFFF"/>
                <w:lang w:val="uk-UA"/>
              </w:rPr>
            </w:pPr>
            <w:r>
              <w:rPr>
                <w:color w:val="FFFFFF"/>
                <w:lang w:val="uk-UA"/>
              </w:rPr>
            </w:r>
          </w:p>
        </w:tc>
        <w:tc>
          <w:tcPr>
            <w:tcW w:w="2341" w:type="dxa"/>
            <w:tcBorders/>
            <w:shd w:fill="auto" w:val="clear"/>
          </w:tcPr>
          <w:p>
            <w:pPr>
              <w:pStyle w:val="Normal"/>
              <w:tabs>
                <w:tab w:val="clear" w:pos="709"/>
                <w:tab w:val="left" w:pos="0" w:leader="none"/>
              </w:tabs>
              <w:spacing w:before="0" w:after="120"/>
              <w:jc w:val="both"/>
              <w:rPr>
                <w:color w:val="FFFFFF"/>
                <w:lang w:val="uk-UA"/>
              </w:rPr>
            </w:pPr>
            <w:r>
              <w:rPr>
                <w:color w:val="FFFFFF"/>
                <w:lang w:val="uk-UA"/>
              </w:rPr>
              <w:t>Ю.В. Бурахін</w:t>
            </w:r>
          </w:p>
        </w:tc>
      </w:tr>
      <w:tr>
        <w:trPr>
          <w:trHeight w:val="823" w:hRule="atLeast"/>
        </w:trPr>
        <w:tc>
          <w:tcPr>
            <w:tcW w:w="4962" w:type="dxa"/>
            <w:tcBorders/>
            <w:shd w:fill="auto" w:val="clear"/>
          </w:tcPr>
          <w:p>
            <w:pPr>
              <w:pStyle w:val="Normal"/>
              <w:shd w:fill="FFFFFF" w:val="clear"/>
              <w:tabs>
                <w:tab w:val="clear" w:pos="709"/>
                <w:tab w:val="left" w:pos="0" w:leader="none"/>
              </w:tabs>
              <w:spacing w:lineRule="auto" w:line="360"/>
              <w:jc w:val="both"/>
              <w:rPr>
                <w:b/>
                <w:b/>
                <w:color w:val="FFFFFF"/>
                <w:lang w:val="uk-UA"/>
              </w:rPr>
            </w:pPr>
            <w:r>
              <w:rPr>
                <w:b/>
                <w:color w:val="FFFFFF"/>
                <w:lang w:val="uk-UA"/>
              </w:rPr>
              <w:t>Узгоджено:</w:t>
            </w:r>
          </w:p>
        </w:tc>
        <w:tc>
          <w:tcPr>
            <w:tcW w:w="1842" w:type="dxa"/>
            <w:tcBorders/>
            <w:shd w:fill="auto" w:val="clear"/>
          </w:tcPr>
          <w:p>
            <w:pPr>
              <w:pStyle w:val="Normal"/>
              <w:tabs>
                <w:tab w:val="clear" w:pos="709"/>
                <w:tab w:val="left" w:pos="0" w:leader="none"/>
              </w:tabs>
              <w:snapToGrid w:val="false"/>
              <w:spacing w:lineRule="auto" w:line="360"/>
              <w:jc w:val="both"/>
              <w:rPr>
                <w:color w:val="FFFFFF"/>
                <w:lang w:val="uk-UA"/>
              </w:rPr>
            </w:pPr>
            <w:r>
              <w:rPr>
                <w:color w:val="FFFFFF"/>
                <w:lang w:val="uk-UA"/>
              </w:rPr>
            </w:r>
          </w:p>
        </w:tc>
        <w:tc>
          <w:tcPr>
            <w:tcW w:w="2341" w:type="dxa"/>
            <w:tcBorders/>
            <w:shd w:fill="auto" w:val="clear"/>
          </w:tcPr>
          <w:p>
            <w:pPr>
              <w:pStyle w:val="Normal"/>
              <w:tabs>
                <w:tab w:val="clear" w:pos="709"/>
                <w:tab w:val="left" w:pos="0" w:leader="none"/>
              </w:tabs>
              <w:snapToGrid w:val="false"/>
              <w:spacing w:lineRule="auto" w:line="360"/>
              <w:jc w:val="both"/>
              <w:rPr>
                <w:color w:val="FFFFFF"/>
                <w:lang w:val="uk-UA"/>
              </w:rPr>
            </w:pPr>
            <w:r>
              <w:rPr>
                <w:color w:val="FFFFFF"/>
                <w:lang w:val="uk-UA"/>
              </w:rPr>
            </w:r>
          </w:p>
        </w:tc>
      </w:tr>
      <w:tr>
        <w:trPr>
          <w:trHeight w:val="823" w:hRule="atLeast"/>
        </w:trPr>
        <w:tc>
          <w:tcPr>
            <w:tcW w:w="4962" w:type="dxa"/>
            <w:tcBorders/>
            <w:shd w:fill="auto" w:val="clear"/>
          </w:tcPr>
          <w:p>
            <w:pPr>
              <w:pStyle w:val="Normal"/>
              <w:shd w:fill="FFFFFF" w:val="clear"/>
              <w:tabs>
                <w:tab w:val="clear" w:pos="709"/>
                <w:tab w:val="left" w:pos="0" w:leader="none"/>
              </w:tabs>
              <w:spacing w:before="0" w:after="120"/>
              <w:jc w:val="both"/>
              <w:rPr>
                <w:color w:val="FFFFFF"/>
                <w:lang w:val="uk-UA"/>
              </w:rPr>
            </w:pPr>
            <w:r>
              <w:rPr>
                <w:color w:val="FFFFFF"/>
                <w:lang w:val="uk-UA"/>
              </w:rPr>
              <w:t>Керуючий справами виконкому</w:t>
            </w:r>
          </w:p>
        </w:tc>
        <w:tc>
          <w:tcPr>
            <w:tcW w:w="1842" w:type="dxa"/>
            <w:tcBorders/>
            <w:shd w:fill="auto" w:val="clear"/>
          </w:tcPr>
          <w:p>
            <w:pPr>
              <w:pStyle w:val="Normal"/>
              <w:tabs>
                <w:tab w:val="clear" w:pos="709"/>
                <w:tab w:val="left" w:pos="0" w:leader="none"/>
              </w:tabs>
              <w:snapToGrid w:val="false"/>
              <w:spacing w:before="0" w:after="120"/>
              <w:jc w:val="both"/>
              <w:rPr>
                <w:color w:val="FFFFFF"/>
                <w:lang w:val="uk-UA"/>
              </w:rPr>
            </w:pPr>
            <w:r>
              <w:rPr>
                <w:color w:val="FFFFFF"/>
                <w:lang w:val="uk-UA"/>
              </w:rPr>
            </w:r>
          </w:p>
        </w:tc>
        <w:tc>
          <w:tcPr>
            <w:tcW w:w="2341" w:type="dxa"/>
            <w:tcBorders/>
            <w:shd w:fill="auto" w:val="clear"/>
          </w:tcPr>
          <w:p>
            <w:pPr>
              <w:pStyle w:val="Normal"/>
              <w:tabs>
                <w:tab w:val="clear" w:pos="709"/>
                <w:tab w:val="left" w:pos="0" w:leader="none"/>
              </w:tabs>
              <w:spacing w:before="0" w:after="120"/>
              <w:jc w:val="both"/>
              <w:rPr>
                <w:color w:val="FFFFFF"/>
                <w:lang w:val="uk-UA"/>
              </w:rPr>
            </w:pPr>
            <w:r>
              <w:rPr>
                <w:color w:val="FFFFFF"/>
                <w:lang w:val="uk-UA"/>
              </w:rPr>
              <w:t>Ю.А. Журба</w:t>
            </w:r>
          </w:p>
        </w:tc>
      </w:tr>
      <w:tr>
        <w:trPr>
          <w:trHeight w:val="823" w:hRule="atLeast"/>
        </w:trPr>
        <w:tc>
          <w:tcPr>
            <w:tcW w:w="4962" w:type="dxa"/>
            <w:tcBorders/>
            <w:shd w:fill="auto" w:val="clear"/>
          </w:tcPr>
          <w:p>
            <w:pPr>
              <w:pStyle w:val="Standard"/>
              <w:tabs>
                <w:tab w:val="clear" w:pos="709"/>
                <w:tab w:val="left" w:pos="6210" w:leader="none"/>
                <w:tab w:val="left" w:pos="6795" w:leader="none"/>
                <w:tab w:val="left" w:pos="7350" w:leader="none"/>
              </w:tabs>
              <w:rPr>
                <w:color w:val="FFFFFF"/>
                <w:lang w:val="uk-UA"/>
              </w:rPr>
            </w:pPr>
            <w:r>
              <w:rPr>
                <w:color w:val="FFFFFF"/>
                <w:lang w:val="uk-UA"/>
              </w:rPr>
              <w:t xml:space="preserve">Голова комісії з питань законності, депутатської діяльності і етики      </w:t>
            </w:r>
          </w:p>
          <w:p>
            <w:pPr>
              <w:pStyle w:val="Standard"/>
              <w:tabs>
                <w:tab w:val="clear" w:pos="709"/>
                <w:tab w:val="left" w:pos="6210" w:leader="none"/>
                <w:tab w:val="left" w:pos="6795" w:leader="none"/>
                <w:tab w:val="left" w:pos="7350" w:leader="none"/>
              </w:tabs>
              <w:rPr>
                <w:color w:val="FFFFFF"/>
                <w:lang w:val="uk-UA"/>
              </w:rPr>
            </w:pPr>
            <w:r>
              <w:rPr>
                <w:color w:val="FFFFFF"/>
                <w:lang w:val="uk-UA"/>
              </w:rPr>
            </w:r>
          </w:p>
        </w:tc>
        <w:tc>
          <w:tcPr>
            <w:tcW w:w="1842" w:type="dxa"/>
            <w:tcBorders/>
            <w:shd w:fill="auto" w:val="clear"/>
          </w:tcPr>
          <w:p>
            <w:pPr>
              <w:pStyle w:val="Normal"/>
              <w:tabs>
                <w:tab w:val="clear" w:pos="709"/>
                <w:tab w:val="left" w:pos="0" w:leader="none"/>
              </w:tabs>
              <w:snapToGrid w:val="false"/>
              <w:spacing w:before="0" w:after="120"/>
              <w:jc w:val="both"/>
              <w:rPr>
                <w:color w:val="FFFFFF"/>
                <w:lang w:val="uk-UA"/>
              </w:rPr>
            </w:pPr>
            <w:r>
              <w:rPr>
                <w:color w:val="FFFFFF"/>
                <w:lang w:val="uk-UA"/>
              </w:rPr>
            </w:r>
          </w:p>
        </w:tc>
        <w:tc>
          <w:tcPr>
            <w:tcW w:w="2341" w:type="dxa"/>
            <w:tcBorders/>
            <w:shd w:fill="auto" w:val="clear"/>
          </w:tcPr>
          <w:p>
            <w:pPr>
              <w:pStyle w:val="Normal"/>
              <w:tabs>
                <w:tab w:val="clear" w:pos="709"/>
                <w:tab w:val="left" w:pos="0" w:leader="none"/>
              </w:tabs>
              <w:snapToGrid w:val="false"/>
              <w:spacing w:before="0" w:after="120"/>
              <w:jc w:val="both"/>
              <w:rPr>
                <w:color w:val="FFFFFF"/>
                <w:lang w:val="uk-UA"/>
              </w:rPr>
            </w:pPr>
            <w:r>
              <w:rPr>
                <w:color w:val="FFFFFF"/>
                <w:lang w:val="uk-UA"/>
              </w:rPr>
            </w:r>
          </w:p>
        </w:tc>
      </w:tr>
      <w:tr>
        <w:trPr>
          <w:trHeight w:val="823" w:hRule="atLeast"/>
        </w:trPr>
        <w:tc>
          <w:tcPr>
            <w:tcW w:w="4962" w:type="dxa"/>
            <w:tcBorders/>
            <w:shd w:fill="auto" w:val="clear"/>
          </w:tcPr>
          <w:p>
            <w:pPr>
              <w:pStyle w:val="Standard"/>
              <w:tabs>
                <w:tab w:val="clear" w:pos="709"/>
                <w:tab w:val="left" w:pos="6210" w:leader="none"/>
              </w:tabs>
              <w:jc w:val="both"/>
              <w:rPr>
                <w:rFonts w:eastAsia="Times New Roman" w:cs="Times New Roman"/>
                <w:color w:val="FFFFFF"/>
                <w:lang w:val="uk-UA"/>
              </w:rPr>
            </w:pPr>
            <w:r>
              <w:rPr>
                <w:rFonts w:eastAsia="Times New Roman" w:cs="Times New Roman"/>
                <w:color w:val="FFFFFF"/>
                <w:lang w:val="uk-UA"/>
              </w:rPr>
              <w:t>Начальник відділу з юридичних</w:t>
            </w:r>
          </w:p>
          <w:p>
            <w:pPr>
              <w:pStyle w:val="Standard"/>
              <w:tabs>
                <w:tab w:val="clear" w:pos="709"/>
                <w:tab w:val="left" w:pos="6210" w:leader="none"/>
                <w:tab w:val="left" w:pos="6795" w:leader="none"/>
                <w:tab w:val="left" w:pos="7350" w:leader="none"/>
              </w:tabs>
              <w:rPr>
                <w:rFonts w:eastAsia="Times New Roman"/>
                <w:color w:val="FFFFFF"/>
                <w:lang w:val="uk-UA"/>
              </w:rPr>
            </w:pPr>
            <w:r>
              <w:rPr>
                <w:rFonts w:eastAsia="Times New Roman"/>
                <w:color w:val="FFFFFF"/>
                <w:lang w:val="uk-UA"/>
              </w:rPr>
              <w:t>та правових питань</w:t>
            </w:r>
          </w:p>
        </w:tc>
        <w:tc>
          <w:tcPr>
            <w:tcW w:w="1842" w:type="dxa"/>
            <w:tcBorders/>
            <w:shd w:fill="auto" w:val="clear"/>
          </w:tcPr>
          <w:p>
            <w:pPr>
              <w:pStyle w:val="Normal"/>
              <w:tabs>
                <w:tab w:val="clear" w:pos="709"/>
                <w:tab w:val="left" w:pos="0" w:leader="none"/>
              </w:tabs>
              <w:snapToGrid w:val="false"/>
              <w:spacing w:before="0" w:after="120"/>
              <w:jc w:val="both"/>
              <w:rPr>
                <w:color w:val="FFFFFF"/>
                <w:lang w:val="uk-UA"/>
              </w:rPr>
            </w:pPr>
            <w:r>
              <w:rPr>
                <w:color w:val="FFFFFF"/>
                <w:lang w:val="uk-UA"/>
              </w:rPr>
            </w:r>
          </w:p>
        </w:tc>
        <w:tc>
          <w:tcPr>
            <w:tcW w:w="2341" w:type="dxa"/>
            <w:tcBorders/>
            <w:shd w:fill="auto" w:val="clear"/>
          </w:tcPr>
          <w:p>
            <w:pPr>
              <w:pStyle w:val="Normal"/>
              <w:tabs>
                <w:tab w:val="clear" w:pos="709"/>
                <w:tab w:val="left" w:pos="0" w:leader="none"/>
              </w:tabs>
              <w:spacing w:before="0" w:after="120"/>
              <w:jc w:val="both"/>
              <w:rPr>
                <w:color w:val="FFFFFF"/>
              </w:rPr>
            </w:pPr>
            <w:r>
              <w:rPr>
                <w:rFonts w:eastAsia="Times New Roman"/>
                <w:color w:val="FFFFFF"/>
                <w:lang w:val="uk-UA"/>
              </w:rPr>
              <w:t>В.В.</w:t>
            </w:r>
            <w:r>
              <w:rPr>
                <w:rFonts w:eastAsia="Times New Roman"/>
                <w:color w:val="FFFFFF"/>
                <w:lang w:val="en-US"/>
              </w:rPr>
              <w:t xml:space="preserve"> </w:t>
            </w:r>
            <w:r>
              <w:rPr>
                <w:rFonts w:eastAsia="Times New Roman"/>
                <w:color w:val="FFFFFF"/>
                <w:lang w:val="uk-UA"/>
              </w:rPr>
              <w:t>Рудь</w:t>
            </w:r>
          </w:p>
        </w:tc>
      </w:tr>
    </w:tbl>
    <w:p>
      <w:pPr>
        <w:pStyle w:val="Style17"/>
        <w:ind w:left="5103" w:right="0" w:hanging="0"/>
        <w:jc w:val="left"/>
        <w:rPr/>
      </w:pPr>
      <w:r>
        <w:br w:type="page"/>
      </w:r>
      <w:r>
        <w:rPr>
          <w:b/>
          <w:bCs/>
          <w:sz w:val="24"/>
          <w:lang w:val="uk-UA"/>
        </w:rPr>
        <w:t xml:space="preserve">Додаток </w:t>
        <w:br/>
        <w:t xml:space="preserve">до рішення   </w:t>
      </w:r>
      <w:r>
        <w:rPr>
          <w:bCs/>
          <w:sz w:val="24"/>
          <w:u w:val="single"/>
          <w:lang w:val="uk-UA"/>
        </w:rPr>
        <w:t xml:space="preserve"> </w:t>
      </w:r>
      <w:r>
        <w:rPr>
          <w:b/>
          <w:bCs/>
          <w:sz w:val="24"/>
          <w:u w:val="single"/>
          <w:lang w:val="uk-UA"/>
        </w:rPr>
        <w:t>63-ї</w:t>
      </w:r>
      <w:r>
        <w:rPr>
          <w:bCs/>
          <w:sz w:val="24"/>
          <w:u w:val="single"/>
          <w:lang w:val="uk-UA"/>
        </w:rPr>
        <w:t xml:space="preserve"> </w:t>
      </w:r>
      <w:r>
        <w:rPr>
          <w:b/>
          <w:bCs/>
          <w:szCs w:val="28"/>
          <w:lang w:val="uk-UA"/>
        </w:rPr>
        <w:t xml:space="preserve">  </w:t>
      </w:r>
      <w:r>
        <w:rPr>
          <w:b/>
          <w:bCs/>
          <w:sz w:val="24"/>
          <w:lang w:val="uk-UA"/>
        </w:rPr>
        <w:t xml:space="preserve">сесії </w:t>
        <w:br/>
        <w:t xml:space="preserve">міськради № </w:t>
      </w:r>
      <w:r>
        <w:rPr>
          <w:b/>
          <w:bCs/>
          <w:sz w:val="24"/>
          <w:u w:val="single"/>
          <w:lang w:val="uk-UA"/>
        </w:rPr>
        <w:t>3681</w:t>
      </w:r>
      <w:r>
        <w:rPr>
          <w:b/>
          <w:bCs/>
          <w:sz w:val="24"/>
          <w:lang w:val="uk-UA"/>
        </w:rPr>
        <w:t xml:space="preserve"> від </w:t>
      </w:r>
      <w:r>
        <w:rPr>
          <w:bCs/>
          <w:sz w:val="24"/>
          <w:lang w:val="uk-UA"/>
        </w:rPr>
        <w:t>"</w:t>
      </w:r>
      <w:r>
        <w:rPr>
          <w:b/>
          <w:bCs/>
          <w:sz w:val="24"/>
          <w:lang w:val="uk-UA"/>
        </w:rPr>
        <w:t>10</w:t>
      </w:r>
      <w:r>
        <w:rPr>
          <w:bCs/>
          <w:sz w:val="24"/>
          <w:lang w:val="uk-UA"/>
        </w:rPr>
        <w:t xml:space="preserve">" </w:t>
      </w:r>
      <w:r>
        <w:rPr>
          <w:b/>
          <w:bCs/>
          <w:sz w:val="24"/>
          <w:lang w:val="uk-UA"/>
        </w:rPr>
        <w:t>травня</w:t>
      </w:r>
      <w:r>
        <w:rPr>
          <w:bCs/>
          <w:sz w:val="24"/>
          <w:lang w:val="uk-UA"/>
        </w:rPr>
        <w:t xml:space="preserve"> </w:t>
      </w:r>
      <w:r>
        <w:rPr>
          <w:b/>
          <w:bCs/>
          <w:sz w:val="24"/>
          <w:lang w:val="uk-UA"/>
        </w:rPr>
        <w:t>2019 р.</w:t>
      </w:r>
    </w:p>
    <w:p>
      <w:pPr>
        <w:pStyle w:val="Style17"/>
        <w:spacing w:before="120" w:after="0"/>
        <w:rPr>
          <w:b/>
          <w:b/>
          <w:bCs/>
          <w:lang w:val="uk-UA"/>
        </w:rPr>
      </w:pPr>
      <w:r>
        <w:rPr>
          <w:b/>
          <w:bCs/>
          <w:lang w:val="uk-UA"/>
        </w:rPr>
        <w:t>ЗАКЛЮЧНИЙ  ЗВІТ</w:t>
      </w:r>
    </w:p>
    <w:p>
      <w:pPr>
        <w:pStyle w:val="Normal"/>
        <w:jc w:val="center"/>
        <w:rPr>
          <w:b/>
          <w:b/>
          <w:bCs/>
          <w:lang w:val="uk-UA"/>
        </w:rPr>
      </w:pPr>
      <w:r>
        <w:rPr>
          <w:b/>
          <w:bCs/>
          <w:lang w:val="uk-UA"/>
        </w:rPr>
        <w:t>про результати виконання</w:t>
      </w:r>
    </w:p>
    <w:p>
      <w:pPr>
        <w:pStyle w:val="Normal"/>
        <w:jc w:val="center"/>
        <w:rPr>
          <w:b/>
          <w:b/>
          <w:bCs/>
          <w:lang w:val="uk-UA"/>
        </w:rPr>
      </w:pPr>
      <w:r>
        <w:rPr>
          <w:b/>
          <w:bCs/>
          <w:lang w:val="uk-UA"/>
        </w:rPr>
        <w:t>«Програми інформатизації</w:t>
      </w:r>
    </w:p>
    <w:p>
      <w:pPr>
        <w:pStyle w:val="Normal"/>
        <w:jc w:val="center"/>
        <w:rPr>
          <w:b/>
          <w:b/>
          <w:bCs/>
          <w:lang w:val="uk-UA"/>
        </w:rPr>
      </w:pPr>
      <w:r>
        <w:rPr>
          <w:b/>
          <w:bCs/>
          <w:lang w:val="uk-UA"/>
        </w:rPr>
        <w:t>Сєвєродонецької міської ради на 2018 рік»</w:t>
      </w:r>
    </w:p>
    <w:p>
      <w:pPr>
        <w:pStyle w:val="Normal"/>
        <w:numPr>
          <w:ilvl w:val="0"/>
          <w:numId w:val="3"/>
        </w:numPr>
        <w:spacing w:before="120" w:after="0"/>
        <w:ind w:left="1066" w:right="0" w:hanging="357"/>
        <w:jc w:val="both"/>
        <w:rPr>
          <w:b/>
          <w:b/>
          <w:lang w:val="uk-UA"/>
        </w:rPr>
      </w:pPr>
      <w:r>
        <w:rPr>
          <w:b/>
          <w:lang w:val="uk-UA"/>
        </w:rPr>
        <w:t>Основні дані.</w:t>
      </w:r>
    </w:p>
    <w:p>
      <w:pPr>
        <w:pStyle w:val="Normal"/>
        <w:spacing w:before="120" w:after="0"/>
        <w:ind w:left="0" w:right="0" w:firstLine="720"/>
        <w:jc w:val="both"/>
        <w:rPr>
          <w:lang w:val="uk-UA"/>
        </w:rPr>
      </w:pPr>
      <w:r>
        <w:rPr>
          <w:lang w:val="uk-UA"/>
        </w:rPr>
        <w:t>Метою   «Програми інформатизації Сєвєродонецької міської ради на 2018 рік» (Програми)   є   виконання вимог Законодавства України щодо функціонування органів місцевого самоврядування, відкритості, прозорості та підконтрольності їх діяльності місцевій громаді, автоматизація діяльності відділів міської ради та забезпечення   керівництва, департаментів, управлінь та відділи міської ради достовірною, повною та своєчасною інформацією, яка є основою для прийняття обґрунтованих, ефективних управлінських рішень та оперативного контролю за їх виконанням, а, також, є основою для більш раціонального використання наявних фінансових, матеріально-технічних та інших ресурсів при вирішенні завдань розвитку  місцевої громади.</w:t>
      </w:r>
    </w:p>
    <w:p>
      <w:pPr>
        <w:pStyle w:val="Normal"/>
        <w:spacing w:before="120" w:after="0"/>
        <w:ind w:left="0" w:right="0" w:firstLine="720"/>
        <w:jc w:val="both"/>
        <w:rPr>
          <w:lang w:val="uk-UA"/>
        </w:rPr>
      </w:pPr>
      <w:r>
        <w:rPr>
          <w:lang w:val="uk-UA"/>
        </w:rPr>
        <w:t>Рішення про розробку Програми було прийнято розпорядженням міського голови від 14.09.2017р. № 479 "Про розробку міських цільових та інших програм на 2018 рік"</w:t>
      </w:r>
    </w:p>
    <w:p>
      <w:pPr>
        <w:pStyle w:val="Normal"/>
        <w:spacing w:before="120" w:after="0"/>
        <w:ind w:left="0" w:right="0" w:firstLine="720"/>
        <w:jc w:val="both"/>
        <w:rPr>
          <w:lang w:val="uk-UA"/>
        </w:rPr>
      </w:pPr>
      <w:r>
        <w:rPr>
          <w:lang w:val="uk-UA"/>
        </w:rPr>
        <w:t>Програма була затверджена рішенням тридцять восьмої  (позачергової) сесії міської ради сьомого скликання від 30 січня 2018 року № 2227 «Про затвердження Програми інформатизації  Сєвєродонецької міської ради на 2018 рік».</w:t>
      </w:r>
    </w:p>
    <w:p>
      <w:pPr>
        <w:pStyle w:val="Normal"/>
        <w:spacing w:before="120" w:after="0"/>
        <w:ind w:left="0" w:right="0" w:firstLine="720"/>
        <w:jc w:val="both"/>
        <w:rPr>
          <w:lang w:val="uk-UA"/>
        </w:rPr>
      </w:pPr>
      <w:r>
        <w:rPr>
          <w:lang w:val="uk-UA"/>
        </w:rPr>
        <w:t>Виконавцем програми є відділ АСУ та ТО міської ради.</w:t>
      </w:r>
    </w:p>
    <w:p>
      <w:pPr>
        <w:pStyle w:val="Normal"/>
        <w:spacing w:before="120" w:after="0"/>
        <w:ind w:left="0" w:right="0" w:firstLine="720"/>
        <w:jc w:val="both"/>
        <w:rPr>
          <w:lang w:val="uk-UA"/>
        </w:rPr>
      </w:pPr>
      <w:r>
        <w:rPr>
          <w:lang w:val="uk-UA"/>
        </w:rPr>
        <w:t>Кінцевий строк виконання програми – 31.12.2018 року.</w:t>
      </w:r>
    </w:p>
    <w:p>
      <w:pPr>
        <w:pStyle w:val="Normal"/>
        <w:spacing w:before="120" w:after="0"/>
        <w:ind w:left="0" w:right="0" w:firstLine="720"/>
        <w:jc w:val="both"/>
        <w:rPr>
          <w:b/>
          <w:b/>
          <w:lang w:val="uk-UA"/>
        </w:rPr>
      </w:pPr>
      <w:r>
        <w:rPr>
          <w:b/>
          <w:lang w:val="uk-UA"/>
        </w:rPr>
        <w:t>2. Виконання завдань і заходів.</w:t>
      </w:r>
    </w:p>
    <w:p>
      <w:pPr>
        <w:pStyle w:val="Normal"/>
        <w:numPr>
          <w:ilvl w:val="0"/>
          <w:numId w:val="5"/>
        </w:numPr>
        <w:tabs>
          <w:tab w:val="clear" w:pos="709"/>
          <w:tab w:val="left" w:pos="720" w:leader="none"/>
        </w:tabs>
        <w:spacing w:before="120" w:after="0"/>
        <w:ind w:left="0" w:right="0" w:hanging="0"/>
        <w:jc w:val="both"/>
        <w:rPr>
          <w:lang w:val="uk-UA"/>
        </w:rPr>
      </w:pPr>
      <w:r>
        <w:rPr>
          <w:lang w:val="uk-UA"/>
        </w:rPr>
        <w:t>Підтримка працездатності електронних поштових скриньок відділів міської ради в домені gov.ua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Придбання, монтаж та налагодження АТС -  не виконано (не було профінансовано).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Технічне супроводження пленарних засідань сесій міської ради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Модернізація ПТК "Віче" - виконано з економією коштів (заплановано 56 000,00 грн., витрачено 49 780,00 грн.).</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системи керування чергою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Організувати канал зв'язку для підключення до ЄДДР - придбання та інсталяція обладнання каналу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Організувати канал зв'язку для підключення до ЄДДР - послуги з підключення каналу конфіденційного  зв’язку в мережі НСКЗ та створення комплексної  системи захисту інформації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Придбати 2 програмно-апаратних комплекси для реєстрації/зняття з реєстрації місць проживання фізичних осіб - не виконано (не було профінансовано).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2-х програмно-апаратних комплексів для реєстрації/зняття з реєстрації місць проживання фізичних осіб - не виконано (комплекси не були придбані).</w:t>
      </w:r>
    </w:p>
    <w:p>
      <w:pPr>
        <w:pStyle w:val="Normal"/>
        <w:numPr>
          <w:ilvl w:val="0"/>
          <w:numId w:val="5"/>
        </w:numPr>
        <w:tabs>
          <w:tab w:val="clear" w:pos="709"/>
          <w:tab w:val="left" w:pos="720" w:leader="none"/>
        </w:tabs>
        <w:spacing w:before="120" w:after="0"/>
        <w:ind w:left="0" w:right="0" w:hanging="0"/>
        <w:jc w:val="both"/>
        <w:rPr>
          <w:lang w:val="uk-UA"/>
        </w:rPr>
      </w:pPr>
      <w:r>
        <w:rPr>
          <w:lang w:val="uk-UA"/>
        </w:rPr>
        <w:t>Придбати 2 робочі станції для оформлення та видачі паспорта громадянина України для виїзду за кордон з електронним носієм або паспорта громадянина України у формі картки - не виконано (не було профінансовано).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2-х робочих станцій для оформлення та видачі паспорта громадянина України для виїзду за кордон з електронним носієм або паспорта громадянина України у формі картки - не виконано (комплекси не були придбані).</w:t>
      </w:r>
    </w:p>
    <w:p>
      <w:pPr>
        <w:pStyle w:val="Normal"/>
        <w:numPr>
          <w:ilvl w:val="0"/>
          <w:numId w:val="5"/>
        </w:numPr>
        <w:tabs>
          <w:tab w:val="clear" w:pos="709"/>
          <w:tab w:val="left" w:pos="720" w:leader="none"/>
        </w:tabs>
        <w:spacing w:before="120" w:after="0"/>
        <w:ind w:left="0" w:right="0" w:hanging="0"/>
        <w:jc w:val="both"/>
        <w:rPr>
          <w:lang w:val="uk-UA"/>
        </w:rPr>
      </w:pPr>
      <w:r>
        <w:rPr>
          <w:lang w:val="uk-UA"/>
        </w:rPr>
        <w:t>Придбати 2 програмно-апаратних комплекси для внесення інформації до ЄДДР та формування витягів з ЄДДР - не виконано (не було профінансовано).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Підключити 4 робочих станції до ЄДДР та до Реєстру територіальної громади - не виконано (2 станції не було придбано, 2 станції не підключені за відсутності приміщення для їх встановлення).</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програмно-апаратного комплексу для внесення інформації до ЄДДР та формування витягів з ЄДДР - не виконано (комплекси не були підключені за відсутності приміщення для їх встановлення).</w:t>
      </w:r>
    </w:p>
    <w:p>
      <w:pPr>
        <w:pStyle w:val="Normal"/>
        <w:numPr>
          <w:ilvl w:val="0"/>
          <w:numId w:val="5"/>
        </w:numPr>
        <w:tabs>
          <w:tab w:val="clear" w:pos="709"/>
          <w:tab w:val="left" w:pos="720" w:leader="none"/>
        </w:tabs>
        <w:spacing w:before="120" w:after="0"/>
        <w:ind w:left="0" w:right="0" w:hanging="0"/>
        <w:jc w:val="both"/>
        <w:rPr>
          <w:lang w:val="uk-UA"/>
        </w:rPr>
      </w:pPr>
      <w:r>
        <w:rPr>
          <w:lang w:val="uk-UA"/>
        </w:rPr>
        <w:t xml:space="preserve">Технічна підтримка 3-х програмно-апаратних комплексів для внесення інформації до Реєстру речових прав та нерухомого майна -  виконано. </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3-х програмно-апаратних комплексів для внесення інформації до Реєстру юридичних осіб та фізичних осіб-підприємців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30 робочих місць відділу адміністративних послуг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АТС Panasonic KX-TDA100D відділу адміністративних послуг - виконано.</w:t>
      </w:r>
    </w:p>
    <w:p>
      <w:pPr>
        <w:pStyle w:val="Normal"/>
        <w:numPr>
          <w:ilvl w:val="0"/>
          <w:numId w:val="5"/>
        </w:numPr>
        <w:tabs>
          <w:tab w:val="clear" w:pos="709"/>
          <w:tab w:val="left" w:pos="720" w:leader="none"/>
        </w:tabs>
        <w:spacing w:before="120" w:after="0"/>
        <w:ind w:left="0" w:right="0" w:hanging="0"/>
        <w:jc w:val="both"/>
        <w:rPr/>
      </w:pPr>
      <w:r>
        <w:rPr>
          <w:lang w:val="uk-UA"/>
        </w:rPr>
        <w:t>Придбати комп'ютерну, периферійну та оргтехніку - перевиконано (заплановано 599</w:t>
      </w:r>
      <w:r>
        <w:rPr>
          <w:color w:val="FFFFFF"/>
          <w:lang w:val="uk-UA"/>
        </w:rPr>
        <w:t>_</w:t>
      </w:r>
      <w:r>
        <w:rPr>
          <w:lang w:val="uk-UA"/>
        </w:rPr>
        <w:t>937,00 грн., профінансовано 971 377,00 грн.).</w:t>
      </w:r>
    </w:p>
    <w:p>
      <w:pPr>
        <w:pStyle w:val="Normal"/>
        <w:numPr>
          <w:ilvl w:val="0"/>
          <w:numId w:val="5"/>
        </w:numPr>
        <w:tabs>
          <w:tab w:val="clear" w:pos="709"/>
          <w:tab w:val="left" w:pos="720" w:leader="none"/>
        </w:tabs>
        <w:spacing w:before="120" w:after="0"/>
        <w:ind w:left="0" w:right="0" w:hanging="0"/>
        <w:jc w:val="both"/>
        <w:rPr/>
      </w:pPr>
      <w:r>
        <w:rPr>
          <w:lang w:val="uk-UA"/>
        </w:rPr>
        <w:t>Послуги з ліцензування програмного забезпечення - перевиконано (заплановано 612</w:t>
      </w:r>
      <w:r>
        <w:rPr>
          <w:color w:val="FFFFFF"/>
          <w:lang w:val="uk-UA"/>
        </w:rPr>
        <w:t>_</w:t>
      </w:r>
      <w:r>
        <w:rPr>
          <w:lang w:val="uk-UA"/>
        </w:rPr>
        <w:t>599,00 грн., профінансовано - 784 816,00 грн.).</w:t>
      </w:r>
    </w:p>
    <w:p>
      <w:pPr>
        <w:pStyle w:val="Normal"/>
        <w:numPr>
          <w:ilvl w:val="0"/>
          <w:numId w:val="5"/>
        </w:numPr>
        <w:tabs>
          <w:tab w:val="clear" w:pos="709"/>
          <w:tab w:val="left" w:pos="720" w:leader="none"/>
        </w:tabs>
        <w:spacing w:before="120" w:after="0"/>
        <w:ind w:left="0" w:right="0" w:hanging="0"/>
        <w:jc w:val="both"/>
        <w:rPr>
          <w:lang w:val="uk-UA"/>
        </w:rPr>
      </w:pPr>
      <w:r>
        <w:rPr>
          <w:lang w:val="uk-UA"/>
        </w:rPr>
        <w:t>Послуги з технічного обслуговування та ремонту обладнання - перевиконано (заплановано 53 938,00 грн., профінансовано 106 572,00 грн.).</w:t>
      </w:r>
    </w:p>
    <w:p>
      <w:pPr>
        <w:pStyle w:val="Normal"/>
        <w:numPr>
          <w:ilvl w:val="0"/>
          <w:numId w:val="5"/>
        </w:numPr>
        <w:tabs>
          <w:tab w:val="clear" w:pos="709"/>
          <w:tab w:val="left" w:pos="720" w:leader="none"/>
        </w:tabs>
        <w:spacing w:before="120" w:after="0"/>
        <w:ind w:left="0" w:right="0" w:hanging="0"/>
        <w:jc w:val="both"/>
        <w:rPr>
          <w:lang w:val="uk-UA"/>
        </w:rPr>
      </w:pPr>
      <w:r>
        <w:rPr>
          <w:lang w:val="uk-UA"/>
        </w:rPr>
        <w:t xml:space="preserve">. Послуги доступу до Інтернет та електронної пошти - виконано. </w:t>
      </w:r>
    </w:p>
    <w:p>
      <w:pPr>
        <w:pStyle w:val="Normal"/>
        <w:numPr>
          <w:ilvl w:val="0"/>
          <w:numId w:val="5"/>
        </w:numPr>
        <w:tabs>
          <w:tab w:val="clear" w:pos="709"/>
          <w:tab w:val="left" w:pos="720" w:leader="none"/>
        </w:tabs>
        <w:spacing w:before="120" w:after="0"/>
        <w:ind w:left="0" w:right="0" w:hanging="0"/>
        <w:jc w:val="both"/>
        <w:rPr>
          <w:lang w:val="uk-UA"/>
        </w:rPr>
      </w:pPr>
      <w:r>
        <w:rPr>
          <w:lang w:val="uk-UA"/>
        </w:rPr>
        <w:t>Технічна підтримка  системи "Законодавство" - перевиконано (заплановано 5 821,00 грн., профінансовано 8 280,00 грн.).</w:t>
      </w:r>
    </w:p>
    <w:p>
      <w:pPr>
        <w:pStyle w:val="Normal"/>
        <w:numPr>
          <w:ilvl w:val="0"/>
          <w:numId w:val="5"/>
        </w:numPr>
        <w:tabs>
          <w:tab w:val="clear" w:pos="709"/>
          <w:tab w:val="left" w:pos="720" w:leader="none"/>
        </w:tabs>
        <w:spacing w:before="120" w:after="0"/>
        <w:ind w:left="0" w:right="0" w:hanging="0"/>
        <w:jc w:val="both"/>
        <w:rPr>
          <w:lang w:val="uk-UA"/>
        </w:rPr>
      </w:pPr>
      <w:r>
        <w:rPr>
          <w:lang w:val="uk-UA"/>
        </w:rPr>
        <w:t>Створення системи відеоспостереження - не виконано (не було профінансовано).</w:t>
      </w:r>
    </w:p>
    <w:p>
      <w:pPr>
        <w:pStyle w:val="Normal"/>
        <w:numPr>
          <w:ilvl w:val="0"/>
          <w:numId w:val="5"/>
        </w:numPr>
        <w:tabs>
          <w:tab w:val="clear" w:pos="709"/>
          <w:tab w:val="left" w:pos="720" w:leader="none"/>
        </w:tabs>
        <w:spacing w:before="120" w:after="0"/>
        <w:ind w:left="0" w:right="0" w:hanging="0"/>
        <w:jc w:val="both"/>
        <w:rPr/>
      </w:pPr>
      <w:r>
        <w:rPr>
          <w:lang w:val="uk-UA"/>
        </w:rPr>
        <w:t>Устаткування для автоматичного оброблення інформації та витратні матеріали  до нього - виконано з економією (заплановано 131</w:t>
      </w:r>
      <w:r>
        <w:rPr>
          <w:color w:val="FFFFFF"/>
          <w:lang w:val="uk-UA"/>
        </w:rPr>
        <w:t xml:space="preserve"> </w:t>
      </w:r>
      <w:r>
        <w:rPr>
          <w:lang w:val="uk-UA"/>
        </w:rPr>
        <w:t>706,00 грн., профінансовано 87 517,00 грн.).</w:t>
      </w:r>
    </w:p>
    <w:p>
      <w:pPr>
        <w:pStyle w:val="Normal"/>
        <w:numPr>
          <w:ilvl w:val="0"/>
          <w:numId w:val="5"/>
        </w:numPr>
        <w:tabs>
          <w:tab w:val="clear" w:pos="709"/>
          <w:tab w:val="left" w:pos="720" w:leader="none"/>
        </w:tabs>
        <w:spacing w:before="120" w:after="0"/>
        <w:ind w:left="0" w:right="0" w:hanging="0"/>
        <w:jc w:val="both"/>
        <w:rPr>
          <w:lang w:val="uk-UA"/>
        </w:rPr>
      </w:pPr>
      <w:r>
        <w:rPr>
          <w:lang w:val="uk-UA"/>
        </w:rPr>
        <w:t>Супровід та оновлення програмного забезпечення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Налаштування пристрою мережевої безпеки WatchGuard Firebox M200 -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 Супровід ПЗ, розробленого програмістами відділу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Адміністрування програмно-технічних засобів захисту інформації в режимно-секретному органі міської ради - виконано.</w:t>
      </w:r>
    </w:p>
    <w:p>
      <w:pPr>
        <w:pStyle w:val="Normal"/>
        <w:numPr>
          <w:ilvl w:val="0"/>
          <w:numId w:val="5"/>
        </w:numPr>
        <w:tabs>
          <w:tab w:val="clear" w:pos="709"/>
          <w:tab w:val="left" w:pos="720" w:leader="none"/>
        </w:tabs>
        <w:spacing w:before="120" w:after="0"/>
        <w:ind w:left="0" w:right="0" w:hanging="0"/>
        <w:jc w:val="both"/>
        <w:rPr>
          <w:lang w:val="uk-UA"/>
        </w:rPr>
      </w:pPr>
      <w:r>
        <w:rPr>
          <w:lang w:val="uk-UA"/>
        </w:rPr>
        <w:t>Закупівля та впровадження системи електронного документообігу - не виконано (не було профінансовано).</w:t>
      </w:r>
    </w:p>
    <w:p>
      <w:pPr>
        <w:pStyle w:val="Normal"/>
        <w:numPr>
          <w:ilvl w:val="0"/>
          <w:numId w:val="5"/>
        </w:numPr>
        <w:tabs>
          <w:tab w:val="clear" w:pos="709"/>
          <w:tab w:val="left" w:pos="720" w:leader="none"/>
        </w:tabs>
        <w:spacing w:before="120" w:after="0"/>
        <w:ind w:left="0" w:right="0" w:hanging="0"/>
        <w:jc w:val="both"/>
        <w:rPr/>
      </w:pPr>
      <w:r>
        <w:rPr>
          <w:lang w:val="uk-UA"/>
        </w:rPr>
        <w:t>Впровадження надання адміністративних послуг з</w:t>
      </w:r>
      <w:r>
        <w:rPr>
          <w:b/>
          <w:lang w:val="uk-UA"/>
        </w:rPr>
        <w:t xml:space="preserve"> </w:t>
      </w:r>
      <w:r>
        <w:rPr>
          <w:lang w:val="uk-UA"/>
        </w:rPr>
        <w:t>використанням сучасних ІКТ - загалом надається 10 послуг. За 2018 рік додатково впроваджено 5 послуг повного циклу (запит на послугу та надання послуги відбувається в електронному вигляді) та 2 послуги часткового циклу (запит - в електронному вигляді, надання послуги - в паперовому вигляді).</w:t>
      </w:r>
    </w:p>
    <w:p>
      <w:pPr>
        <w:pStyle w:val="Normal"/>
        <w:spacing w:before="120" w:after="120"/>
        <w:rPr>
          <w:b/>
          <w:b/>
          <w:lang w:val="uk-UA"/>
        </w:rPr>
      </w:pPr>
      <w:r>
        <w:rPr>
          <w:b/>
          <w:lang w:val="uk-UA"/>
        </w:rPr>
        <w:t>Додатково:</w:t>
      </w:r>
    </w:p>
    <w:p>
      <w:pPr>
        <w:pStyle w:val="Normal"/>
        <w:numPr>
          <w:ilvl w:val="0"/>
          <w:numId w:val="5"/>
        </w:numPr>
        <w:tabs>
          <w:tab w:val="clear" w:pos="709"/>
          <w:tab w:val="left" w:pos="567" w:leader="none"/>
        </w:tabs>
        <w:ind w:left="0" w:right="0" w:hanging="0"/>
        <w:jc w:val="both"/>
        <w:rPr>
          <w:lang w:val="uk-UA"/>
        </w:rPr>
      </w:pPr>
      <w:r>
        <w:rPr>
          <w:lang w:val="uk-UA"/>
        </w:rPr>
        <w:t>Проведено обстеження інформаційної інфраструктури міської ради, на що було профінансовано 47 700,00 грн.</w:t>
      </w:r>
    </w:p>
    <w:p>
      <w:pPr>
        <w:pStyle w:val="Normal"/>
        <w:numPr>
          <w:ilvl w:val="0"/>
          <w:numId w:val="5"/>
        </w:numPr>
        <w:tabs>
          <w:tab w:val="clear" w:pos="709"/>
          <w:tab w:val="left" w:pos="567" w:leader="none"/>
        </w:tabs>
        <w:ind w:left="0" w:right="0" w:hanging="0"/>
        <w:jc w:val="both"/>
        <w:rPr/>
      </w:pPr>
      <w:r>
        <w:rPr>
          <w:lang w:val="uk-UA"/>
        </w:rPr>
        <w:t xml:space="preserve">Згідно Указу Президента України від 11.02.2016 р. № 44/2016 "Про шефську допомогу військовим частинам Збройних Сил України, Національної гвардії України та Державної прикордонної служби України" військовій частині </w:t>
      </w:r>
      <w:r>
        <w:rPr>
          <w:bCs/>
          <w:lang w:val="uk-UA"/>
        </w:rPr>
        <w:t>ЗСУ було придбано та передано 44 ноутбуки, 3 планшети, 1 принтер, 10 картриджів до принтерів на загальну суму 685 701,00 грн.</w:t>
      </w:r>
      <w:r>
        <w:br w:type="page"/>
      </w:r>
    </w:p>
    <w:p>
      <w:pPr>
        <w:pStyle w:val="Normal"/>
        <w:ind w:left="0" w:right="0" w:firstLine="720"/>
        <w:jc w:val="both"/>
        <w:rPr>
          <w:b/>
          <w:b/>
          <w:lang w:val="uk-UA"/>
        </w:rPr>
      </w:pPr>
      <w:r>
        <w:rPr>
          <w:b/>
          <w:lang w:val="uk-UA"/>
        </w:rPr>
        <w:t>3. Оцінка ефективності виконання.</w:t>
      </w:r>
    </w:p>
    <w:p>
      <w:pPr>
        <w:pStyle w:val="Normal"/>
        <w:numPr>
          <w:ilvl w:val="0"/>
          <w:numId w:val="6"/>
        </w:numPr>
        <w:tabs>
          <w:tab w:val="clear" w:pos="709"/>
          <w:tab w:val="left" w:pos="720" w:leader="none"/>
        </w:tabs>
        <w:spacing w:before="120" w:after="0"/>
        <w:ind w:left="720" w:right="0" w:hanging="720"/>
        <w:jc w:val="both"/>
        <w:rPr>
          <w:lang w:val="uk-UA"/>
        </w:rPr>
      </w:pPr>
      <w:r>
        <w:rPr>
          <w:lang w:val="uk-UA"/>
        </w:rPr>
        <w:t>Автоматизація діяльності відділу адміністративних послуг оптимізувала та прискорила роботу відділу.</w:t>
      </w:r>
    </w:p>
    <w:p>
      <w:pPr>
        <w:pStyle w:val="Normal"/>
        <w:numPr>
          <w:ilvl w:val="0"/>
          <w:numId w:val="6"/>
        </w:numPr>
        <w:tabs>
          <w:tab w:val="clear" w:pos="709"/>
          <w:tab w:val="left" w:pos="720" w:leader="none"/>
        </w:tabs>
        <w:spacing w:before="120" w:after="0"/>
        <w:ind w:left="720" w:right="0" w:hanging="720"/>
        <w:jc w:val="both"/>
        <w:rPr>
          <w:lang w:val="uk-UA"/>
        </w:rPr>
      </w:pPr>
      <w:r>
        <w:rPr>
          <w:lang w:val="uk-UA"/>
        </w:rPr>
        <w:t>Модернізація інформаційної інфраструктури міської ради підняла на високий якісний та кількісний рівень обробку, зберігання та захист інформації в інформаційній інфраструктурі міської ради.</w:t>
      </w:r>
    </w:p>
    <w:p>
      <w:pPr>
        <w:pStyle w:val="Normal"/>
        <w:spacing w:before="120" w:after="0"/>
        <w:ind w:left="0" w:right="0" w:firstLine="720"/>
        <w:jc w:val="both"/>
        <w:rPr>
          <w:b/>
          <w:b/>
          <w:lang w:val="uk-UA"/>
        </w:rPr>
      </w:pPr>
      <w:r>
        <w:rPr>
          <w:b/>
          <w:lang w:val="uk-UA"/>
        </w:rPr>
        <w:t>4. Фінансування.</w:t>
      </w:r>
    </w:p>
    <w:p>
      <w:pPr>
        <w:pStyle w:val="Normal"/>
        <w:numPr>
          <w:ilvl w:val="0"/>
          <w:numId w:val="4"/>
        </w:numPr>
        <w:tabs>
          <w:tab w:val="clear" w:pos="709"/>
          <w:tab w:val="left" w:pos="720" w:leader="none"/>
        </w:tabs>
        <w:spacing w:before="120" w:after="0"/>
        <w:ind w:left="720" w:right="0" w:hanging="720"/>
        <w:jc w:val="both"/>
        <w:rPr>
          <w:color w:val="000000"/>
          <w:lang w:val="uk-UA"/>
        </w:rPr>
      </w:pPr>
      <w:r>
        <w:rPr>
          <w:color w:val="000000"/>
          <w:lang w:val="uk-UA"/>
        </w:rPr>
        <w:t>Загальна сума запланованих коштів склала 3 718,781 тис. грн., у тому числі:</w:t>
      </w:r>
    </w:p>
    <w:p>
      <w:pPr>
        <w:pStyle w:val="Normal"/>
        <w:tabs>
          <w:tab w:val="clear" w:pos="709"/>
          <w:tab w:val="left" w:pos="720" w:leader="none"/>
        </w:tabs>
        <w:spacing w:before="120" w:after="0"/>
        <w:ind w:left="1077" w:right="0" w:hanging="0"/>
        <w:jc w:val="both"/>
        <w:rPr>
          <w:color w:val="000000"/>
          <w:lang w:val="uk-UA"/>
        </w:rPr>
      </w:pPr>
      <w:r>
        <w:rPr>
          <w:color w:val="000000"/>
          <w:lang w:val="uk-UA"/>
        </w:rPr>
        <w:t>місцевий бюджет - 3 718,781 тис. грн.</w:t>
      </w:r>
    </w:p>
    <w:p>
      <w:pPr>
        <w:pStyle w:val="Normal"/>
        <w:numPr>
          <w:ilvl w:val="0"/>
          <w:numId w:val="4"/>
        </w:numPr>
        <w:tabs>
          <w:tab w:val="clear" w:pos="709"/>
          <w:tab w:val="left" w:pos="720" w:leader="none"/>
        </w:tabs>
        <w:spacing w:before="120" w:after="0"/>
        <w:ind w:left="720" w:right="0" w:hanging="720"/>
        <w:jc w:val="both"/>
        <w:rPr>
          <w:color w:val="000000"/>
          <w:lang w:val="uk-UA"/>
        </w:rPr>
      </w:pPr>
      <w:r>
        <w:rPr>
          <w:color w:val="000000"/>
          <w:lang w:val="uk-UA"/>
        </w:rPr>
        <w:t>Загальна сума витрачених коштів склала 2 892, 278 тис. грн.,у тому числі:</w:t>
      </w:r>
    </w:p>
    <w:p>
      <w:pPr>
        <w:pStyle w:val="Normal"/>
        <w:tabs>
          <w:tab w:val="clear" w:pos="709"/>
          <w:tab w:val="left" w:pos="720" w:leader="none"/>
        </w:tabs>
        <w:spacing w:before="120" w:after="0"/>
        <w:ind w:left="1077" w:right="0" w:hanging="0"/>
        <w:jc w:val="both"/>
        <w:rPr>
          <w:color w:val="000000"/>
          <w:lang w:val="uk-UA"/>
        </w:rPr>
      </w:pPr>
      <w:r>
        <w:rPr>
          <w:color w:val="000000"/>
          <w:lang w:val="uk-UA"/>
        </w:rPr>
        <w:t>місцевий бюджет - 2 892, 278 тис. грн.</w:t>
      </w:r>
    </w:p>
    <w:p>
      <w:pPr>
        <w:pStyle w:val="Normal"/>
        <w:spacing w:before="120" w:after="0"/>
        <w:ind w:left="0" w:right="0" w:firstLine="720"/>
        <w:jc w:val="both"/>
        <w:rPr>
          <w:b/>
          <w:b/>
          <w:lang w:val="uk-UA"/>
        </w:rPr>
      </w:pPr>
      <w:r>
        <w:rPr>
          <w:b/>
          <w:lang w:val="uk-UA"/>
        </w:rPr>
        <w:t>5. Оцінка кінцевих результатів.</w:t>
      </w:r>
    </w:p>
    <w:p>
      <w:pPr>
        <w:pStyle w:val="Normal"/>
        <w:spacing w:before="120" w:after="0"/>
        <w:ind w:left="709" w:right="0" w:hanging="709"/>
        <w:jc w:val="both"/>
        <w:rPr>
          <w:lang w:val="uk-UA"/>
        </w:rPr>
      </w:pPr>
      <w:r>
        <w:rPr>
          <w:lang w:val="uk-UA"/>
        </w:rPr>
        <w:t xml:space="preserve">5.1. </w:t>
        <w:tab/>
        <w:t>Реалізація (навіть частково) Програми дозволила:</w:t>
      </w:r>
    </w:p>
    <w:p>
      <w:pPr>
        <w:pStyle w:val="Normal"/>
        <w:numPr>
          <w:ilvl w:val="0"/>
          <w:numId w:val="8"/>
        </w:numPr>
        <w:spacing w:before="120" w:after="0"/>
        <w:ind w:left="1066" w:right="0" w:hanging="782"/>
        <w:jc w:val="both"/>
        <w:rPr>
          <w:lang w:val="uk-UA"/>
        </w:rPr>
      </w:pPr>
      <w:r>
        <w:rPr>
          <w:lang w:val="uk-UA"/>
        </w:rPr>
        <w:t>Частково модернізувати або замінити застарілу комп’ютерну та іншу оргтехніку, що позитивно вплинуло на якість та швидкість роботи.</w:t>
      </w:r>
    </w:p>
    <w:p>
      <w:pPr>
        <w:pStyle w:val="Normal"/>
        <w:numPr>
          <w:ilvl w:val="0"/>
          <w:numId w:val="8"/>
        </w:numPr>
        <w:ind w:left="1066" w:right="0" w:hanging="782"/>
        <w:jc w:val="both"/>
        <w:rPr>
          <w:lang w:val="uk-UA"/>
        </w:rPr>
      </w:pPr>
      <w:r>
        <w:rPr>
          <w:lang w:val="uk-UA"/>
        </w:rPr>
        <w:t>Виконати вимоги законодавства України щодо ведення електронного реєстру територіальної громади, ведення інших Державних реєстрів.</w:t>
      </w:r>
    </w:p>
    <w:p>
      <w:pPr>
        <w:pStyle w:val="Normal"/>
        <w:numPr>
          <w:ilvl w:val="0"/>
          <w:numId w:val="8"/>
        </w:numPr>
        <w:ind w:left="1069" w:right="0" w:hanging="785"/>
        <w:jc w:val="both"/>
        <w:rPr>
          <w:lang w:val="uk-UA"/>
        </w:rPr>
      </w:pPr>
      <w:r>
        <w:rPr>
          <w:lang w:val="uk-UA"/>
        </w:rPr>
        <w:t>Увійти в межі правового поля з використання програмного забезпечення.</w:t>
      </w:r>
    </w:p>
    <w:p>
      <w:pPr>
        <w:pStyle w:val="Normal"/>
        <w:numPr>
          <w:ilvl w:val="0"/>
          <w:numId w:val="8"/>
        </w:numPr>
        <w:ind w:left="1069" w:right="0" w:hanging="785"/>
        <w:jc w:val="both"/>
        <w:rPr>
          <w:lang w:val="uk-UA"/>
        </w:rPr>
      </w:pPr>
      <w:r>
        <w:rPr>
          <w:lang w:val="uk-UA"/>
        </w:rPr>
        <w:t>Оптимізувати та автоматизувати діловодство деяких структурних підрозділів міської ради.</w:t>
      </w:r>
    </w:p>
    <w:p>
      <w:pPr>
        <w:pStyle w:val="Normal"/>
        <w:numPr>
          <w:ilvl w:val="0"/>
          <w:numId w:val="8"/>
        </w:numPr>
        <w:ind w:left="1069" w:right="0" w:hanging="785"/>
        <w:jc w:val="both"/>
        <w:rPr>
          <w:lang w:val="uk-UA"/>
        </w:rPr>
      </w:pPr>
      <w:r>
        <w:rPr>
          <w:lang w:val="uk-UA"/>
        </w:rPr>
        <w:t>Створити інформаційну інфраструктуру, яка підняла на більш якісний рівень автоматизацію діяльності та забезпечення керівництва та структурних підрозділів міської ради достовірною, повною та своєчасною інформацією, яка є основою для прийняття обґрунтованих, ефективних управлінських рішень та оперативного контролю за їх виконанням, а, також, є основою для більш раціонального використання наявних фінансових, матеріально-технічних та інших ресурсів при вирішенні завдань розвитку  територіальної громади.</w:t>
      </w:r>
    </w:p>
    <w:p>
      <w:pPr>
        <w:pStyle w:val="Normal"/>
        <w:spacing w:before="120" w:after="0"/>
        <w:ind w:left="709" w:right="0" w:hanging="709"/>
        <w:jc w:val="both"/>
        <w:rPr>
          <w:lang w:val="uk-UA"/>
        </w:rPr>
      </w:pPr>
      <w:r>
        <w:rPr>
          <w:lang w:val="uk-UA"/>
        </w:rPr>
        <w:t>5.2.</w:t>
        <w:tab/>
        <w:t>Пункти Програми 6.1.1, 6.3.1, 6.4.1, 6.4.2, 6.5.4, 6.5.9, 6.5.10, 6.6.1, 6.8.1 виконані повністю.</w:t>
      </w:r>
    </w:p>
    <w:p>
      <w:pPr>
        <w:pStyle w:val="Normal"/>
        <w:spacing w:before="120" w:after="0"/>
        <w:ind w:left="709" w:right="0" w:hanging="709"/>
        <w:jc w:val="both"/>
        <w:rPr>
          <w:lang w:val="uk-UA"/>
        </w:rPr>
      </w:pPr>
      <w:r>
        <w:rPr>
          <w:lang w:val="uk-UA"/>
        </w:rPr>
        <w:t>5.3.</w:t>
        <w:tab/>
        <w:t>Пункти Програми 6.3.2, 6.4.3, 6.5.7 виконані з економією коштів.</w:t>
      </w:r>
    </w:p>
    <w:p>
      <w:pPr>
        <w:pStyle w:val="Normal"/>
        <w:spacing w:before="120" w:after="0"/>
        <w:ind w:left="709" w:right="0" w:hanging="709"/>
        <w:jc w:val="both"/>
        <w:rPr>
          <w:lang w:val="uk-UA"/>
        </w:rPr>
      </w:pPr>
      <w:r>
        <w:rPr>
          <w:lang w:val="uk-UA"/>
        </w:rPr>
        <w:t>5.4.</w:t>
        <w:tab/>
        <w:t>Підпункти Програми 6.2.1, 6.4.4, 6.4.5, 6.4.6, 6.4.7, 6.4.8, 6.4.9, 6.5.6, 6.7.1 не виконані за відсутності відповідного фінансування.</w:t>
      </w:r>
    </w:p>
    <w:p>
      <w:pPr>
        <w:pStyle w:val="Normal"/>
        <w:spacing w:before="120" w:after="0"/>
        <w:ind w:left="709" w:right="0" w:hanging="709"/>
        <w:jc w:val="both"/>
        <w:rPr>
          <w:lang w:val="uk-UA"/>
        </w:rPr>
      </w:pPr>
      <w:r>
        <w:rPr>
          <w:lang w:val="uk-UA"/>
        </w:rPr>
        <w:t xml:space="preserve">5.5. </w:t>
        <w:tab/>
        <w:t>Підпункти Програми 6.5.1, 6.5.2, 6.5.3, 6.5.5 були перевиконані завдяки додаткового фінансування.</w:t>
      </w:r>
    </w:p>
    <w:p>
      <w:pPr>
        <w:pStyle w:val="Normal"/>
        <w:spacing w:before="240" w:after="0"/>
        <w:ind w:left="0" w:right="0" w:firstLine="720"/>
        <w:jc w:val="both"/>
        <w:rPr>
          <w:b/>
          <w:b/>
          <w:lang w:val="uk-UA"/>
        </w:rPr>
      </w:pPr>
      <w:r>
        <w:rPr>
          <w:b/>
          <w:lang w:val="uk-UA"/>
        </w:rPr>
        <w:t>6. Заключний висновок.</w:t>
      </w:r>
    </w:p>
    <w:p>
      <w:pPr>
        <w:pStyle w:val="Normal"/>
        <w:spacing w:before="120" w:after="0"/>
        <w:ind w:left="0" w:right="0" w:firstLine="709"/>
        <w:jc w:val="both"/>
        <w:rPr>
          <w:lang w:val="uk-UA"/>
        </w:rPr>
      </w:pPr>
      <w:r>
        <w:rPr>
          <w:lang w:val="uk-UA"/>
        </w:rPr>
        <w:t>Ефективність виконаних заходів висока.</w:t>
      </w:r>
    </w:p>
    <w:p>
      <w:pPr>
        <w:pStyle w:val="Normal"/>
        <w:spacing w:before="120" w:after="0"/>
        <w:ind w:left="0" w:right="0" w:firstLine="709"/>
        <w:jc w:val="both"/>
        <w:rPr>
          <w:lang w:val="uk-UA"/>
        </w:rPr>
      </w:pPr>
      <w:r>
        <w:rPr>
          <w:lang w:val="uk-UA"/>
        </w:rPr>
        <w:t>Завдяки додатковому фінансуванню по деяких пунктах мета Програми значно перевищена.</w:t>
      </w:r>
    </w:p>
    <w:p>
      <w:pPr>
        <w:pStyle w:val="Normal"/>
        <w:spacing w:before="120" w:after="0"/>
        <w:ind w:left="0" w:right="0" w:firstLine="709"/>
        <w:jc w:val="both"/>
        <w:rPr>
          <w:lang w:val="uk-UA"/>
        </w:rPr>
      </w:pPr>
      <w:r>
        <w:rPr>
          <w:lang w:val="uk-UA"/>
        </w:rPr>
        <w:t>Відсутність фінансування по деяких пунктах не дозволила впровадити найсучасніші інформаційні технології (наприклад, систему електронного документообігу) та виконати Програму у повному обсязі.</w:t>
      </w:r>
    </w:p>
    <w:p>
      <w:pPr>
        <w:pStyle w:val="Normal"/>
        <w:spacing w:before="240" w:after="0"/>
        <w:jc w:val="both"/>
        <w:rPr/>
      </w:pPr>
      <w:r>
        <w:rPr/>
        <w:t>Виконавець:</w:t>
      </w:r>
    </w:p>
    <w:tbl>
      <w:tblPr>
        <w:tblW w:w="9854" w:type="dxa"/>
        <w:jc w:val="left"/>
        <w:tblInd w:w="-108" w:type="dxa"/>
        <w:tblCellMar>
          <w:top w:w="0" w:type="dxa"/>
          <w:left w:w="108" w:type="dxa"/>
          <w:bottom w:w="0" w:type="dxa"/>
          <w:right w:w="108" w:type="dxa"/>
        </w:tblCellMar>
      </w:tblPr>
      <w:tblGrid>
        <w:gridCol w:w="3948"/>
        <w:gridCol w:w="240"/>
        <w:gridCol w:w="2400"/>
        <w:gridCol w:w="360"/>
        <w:gridCol w:w="2906"/>
      </w:tblGrid>
      <w:tr>
        <w:trPr>
          <w:trHeight w:val="423" w:hRule="atLeast"/>
        </w:trPr>
        <w:tc>
          <w:tcPr>
            <w:tcW w:w="3948" w:type="dxa"/>
            <w:tcBorders>
              <w:bottom w:val="single" w:sz="4" w:space="0" w:color="000000"/>
            </w:tcBorders>
            <w:shd w:fill="auto" w:val="clear"/>
            <w:vAlign w:val="center"/>
          </w:tcPr>
          <w:p>
            <w:pPr>
              <w:pStyle w:val="Normal"/>
              <w:jc w:val="center"/>
              <w:rPr>
                <w:lang w:val="uk-UA"/>
              </w:rPr>
            </w:pPr>
            <w:r>
              <w:rPr>
                <w:lang w:val="uk-UA"/>
              </w:rPr>
              <w:t>В.о. начальника відділу АСУ та ТО</w:t>
            </w:r>
          </w:p>
        </w:tc>
        <w:tc>
          <w:tcPr>
            <w:tcW w:w="240" w:type="dxa"/>
            <w:tcBorders/>
            <w:shd w:fill="auto" w:val="clear"/>
            <w:vAlign w:val="center"/>
          </w:tcPr>
          <w:p>
            <w:pPr>
              <w:pStyle w:val="Normal"/>
              <w:snapToGrid w:val="false"/>
              <w:jc w:val="center"/>
              <w:rPr>
                <w:lang w:val="uk-UA"/>
              </w:rPr>
            </w:pPr>
            <w:r>
              <w:rPr>
                <w:lang w:val="uk-UA"/>
              </w:rPr>
            </w:r>
          </w:p>
        </w:tc>
        <w:tc>
          <w:tcPr>
            <w:tcW w:w="2400" w:type="dxa"/>
            <w:tcBorders>
              <w:bottom w:val="single" w:sz="4" w:space="0" w:color="000000"/>
            </w:tcBorders>
            <w:shd w:fill="auto" w:val="clear"/>
            <w:vAlign w:val="center"/>
          </w:tcPr>
          <w:p>
            <w:pPr>
              <w:pStyle w:val="Normal"/>
              <w:snapToGrid w:val="false"/>
              <w:jc w:val="center"/>
              <w:rPr>
                <w:lang w:val="uk-UA"/>
              </w:rPr>
            </w:pPr>
            <w:r>
              <w:rPr>
                <w:lang w:val="uk-UA"/>
              </w:rPr>
            </w:r>
          </w:p>
        </w:tc>
        <w:tc>
          <w:tcPr>
            <w:tcW w:w="360" w:type="dxa"/>
            <w:tcBorders/>
            <w:shd w:fill="auto" w:val="clear"/>
            <w:vAlign w:val="center"/>
          </w:tcPr>
          <w:p>
            <w:pPr>
              <w:pStyle w:val="Normal"/>
              <w:snapToGrid w:val="false"/>
              <w:jc w:val="center"/>
              <w:rPr>
                <w:lang w:val="uk-UA"/>
              </w:rPr>
            </w:pPr>
            <w:r>
              <w:rPr>
                <w:lang w:val="uk-UA"/>
              </w:rPr>
            </w:r>
          </w:p>
        </w:tc>
        <w:tc>
          <w:tcPr>
            <w:tcW w:w="2906" w:type="dxa"/>
            <w:tcBorders>
              <w:bottom w:val="single" w:sz="4" w:space="0" w:color="000000"/>
            </w:tcBorders>
            <w:shd w:fill="auto" w:val="clear"/>
            <w:vAlign w:val="center"/>
          </w:tcPr>
          <w:p>
            <w:pPr>
              <w:pStyle w:val="Normal"/>
              <w:jc w:val="center"/>
              <w:rPr>
                <w:lang w:val="uk-UA"/>
              </w:rPr>
            </w:pPr>
            <w:r>
              <w:rPr>
                <w:lang w:val="uk-UA"/>
              </w:rPr>
              <w:t>Ю.В. Бурахін</w:t>
            </w:r>
          </w:p>
        </w:tc>
      </w:tr>
      <w:tr>
        <w:trPr/>
        <w:tc>
          <w:tcPr>
            <w:tcW w:w="3948" w:type="dxa"/>
            <w:tcBorders>
              <w:top w:val="single" w:sz="4" w:space="0" w:color="000000"/>
            </w:tcBorders>
            <w:shd w:fill="auto" w:val="clear"/>
          </w:tcPr>
          <w:p>
            <w:pPr>
              <w:pStyle w:val="Normal"/>
              <w:jc w:val="center"/>
              <w:rPr>
                <w:lang w:val="uk-UA"/>
              </w:rPr>
            </w:pPr>
            <w:r>
              <w:rPr>
                <w:lang w:val="uk-UA"/>
              </w:rPr>
              <w:t>(посада)</w:t>
            </w:r>
          </w:p>
        </w:tc>
        <w:tc>
          <w:tcPr>
            <w:tcW w:w="240" w:type="dxa"/>
            <w:tcBorders/>
            <w:shd w:fill="auto" w:val="clear"/>
          </w:tcPr>
          <w:p>
            <w:pPr>
              <w:pStyle w:val="Normal"/>
              <w:snapToGrid w:val="false"/>
              <w:jc w:val="center"/>
              <w:rPr>
                <w:lang w:val="uk-UA"/>
              </w:rPr>
            </w:pPr>
            <w:r>
              <w:rPr>
                <w:lang w:val="uk-UA"/>
              </w:rPr>
            </w:r>
          </w:p>
        </w:tc>
        <w:tc>
          <w:tcPr>
            <w:tcW w:w="2400" w:type="dxa"/>
            <w:tcBorders>
              <w:top w:val="single" w:sz="4" w:space="0" w:color="000000"/>
            </w:tcBorders>
            <w:shd w:fill="auto" w:val="clear"/>
          </w:tcPr>
          <w:p>
            <w:pPr>
              <w:pStyle w:val="Normal"/>
              <w:jc w:val="center"/>
              <w:rPr>
                <w:lang w:val="uk-UA"/>
              </w:rPr>
            </w:pPr>
            <w:r>
              <w:rPr>
                <w:lang w:val="uk-UA"/>
              </w:rPr>
              <w:t>(підпис)</w:t>
            </w:r>
          </w:p>
        </w:tc>
        <w:tc>
          <w:tcPr>
            <w:tcW w:w="360" w:type="dxa"/>
            <w:tcBorders/>
            <w:shd w:fill="auto" w:val="clear"/>
          </w:tcPr>
          <w:p>
            <w:pPr>
              <w:pStyle w:val="Normal"/>
              <w:snapToGrid w:val="false"/>
              <w:jc w:val="center"/>
              <w:rPr>
                <w:lang w:val="uk-UA"/>
              </w:rPr>
            </w:pPr>
            <w:r>
              <w:rPr>
                <w:lang w:val="uk-UA"/>
              </w:rPr>
            </w:r>
          </w:p>
        </w:tc>
        <w:tc>
          <w:tcPr>
            <w:tcW w:w="2906" w:type="dxa"/>
            <w:tcBorders>
              <w:top w:val="single" w:sz="4" w:space="0" w:color="000000"/>
            </w:tcBorders>
            <w:shd w:fill="auto" w:val="clear"/>
          </w:tcPr>
          <w:p>
            <w:pPr>
              <w:pStyle w:val="Normal"/>
              <w:jc w:val="center"/>
              <w:rPr>
                <w:lang w:val="uk-UA"/>
              </w:rPr>
            </w:pPr>
            <w:r>
              <w:rPr>
                <w:lang w:val="uk-UA"/>
              </w:rPr>
              <w:t>(ініціали та прізвище)</w:t>
            </w:r>
          </w:p>
        </w:tc>
      </w:tr>
    </w:tbl>
    <w:p>
      <w:pPr>
        <w:sectPr>
          <w:footerReference w:type="default" r:id="rId2"/>
          <w:footerReference w:type="first" r:id="rId3"/>
          <w:type w:val="nextPage"/>
          <w:pgSz w:w="11906" w:h="16838"/>
          <w:pgMar w:left="1701" w:right="567" w:header="0" w:top="567" w:footer="284" w:bottom="340" w:gutter="0"/>
          <w:pgNumType w:fmt="decimal"/>
          <w:formProt w:val="false"/>
          <w:titlePg/>
          <w:textDirection w:val="lrTb"/>
          <w:docGrid w:type="default" w:linePitch="360" w:charSpace="0"/>
        </w:sectPr>
        <w:pStyle w:val="Normal"/>
        <w:ind w:left="0" w:right="0" w:firstLine="708"/>
        <w:jc w:val="both"/>
        <w:rPr>
          <w:lang w:val="uk-UA"/>
        </w:rPr>
      </w:pPr>
      <w:r>
        <w:rPr>
          <w:lang w:val="uk-UA"/>
        </w:rPr>
      </w:r>
    </w:p>
    <w:p>
      <w:pPr>
        <w:pStyle w:val="Normal"/>
        <w:ind w:left="10490" w:right="0" w:hanging="0"/>
        <w:rPr/>
      </w:pPr>
      <w:r>
        <w:rPr>
          <w:lang w:val="uk-UA"/>
        </w:rPr>
        <w:t>Додаток 1</w:t>
        <w:br/>
        <w:t xml:space="preserve">до заключного звіту </w:t>
      </w:r>
      <w:r>
        <w:rPr>
          <w:bCs/>
          <w:lang w:val="uk-UA"/>
        </w:rPr>
        <w:t>про результати виконання</w:t>
      </w:r>
    </w:p>
    <w:p>
      <w:pPr>
        <w:pStyle w:val="Normal"/>
        <w:ind w:left="10490" w:right="0" w:hanging="0"/>
        <w:rPr>
          <w:bCs/>
          <w:lang w:val="uk-UA"/>
        </w:rPr>
      </w:pPr>
      <w:r>
        <w:rPr>
          <w:bCs/>
          <w:lang w:val="uk-UA"/>
        </w:rPr>
        <w:t>«Програми інформатизації</w:t>
      </w:r>
    </w:p>
    <w:p>
      <w:pPr>
        <w:pStyle w:val="Normal"/>
        <w:ind w:left="10490" w:right="0" w:hanging="0"/>
        <w:rPr>
          <w:bCs/>
          <w:lang w:val="uk-UA"/>
        </w:rPr>
      </w:pPr>
      <w:r>
        <w:rPr>
          <w:bCs/>
          <w:lang w:val="uk-UA"/>
        </w:rPr>
        <w:t>Сєвєродонецької міської ради за 2018 рік»</w:t>
      </w:r>
    </w:p>
    <w:p>
      <w:pPr>
        <w:pStyle w:val="Normal"/>
        <w:ind w:left="6521" w:right="0" w:hanging="0"/>
        <w:rPr>
          <w:bCs/>
          <w:lang w:val="uk-UA"/>
        </w:rPr>
      </w:pPr>
      <w:r>
        <w:rPr>
          <w:bCs/>
          <w:lang w:val="uk-UA"/>
        </w:rPr>
      </w:r>
    </w:p>
    <w:p>
      <w:pPr>
        <w:pStyle w:val="Normal"/>
        <w:jc w:val="center"/>
        <w:rPr>
          <w:b/>
          <w:b/>
          <w:bCs/>
          <w:sz w:val="28"/>
          <w:szCs w:val="28"/>
          <w:lang w:val="uk-UA"/>
        </w:rPr>
      </w:pPr>
      <w:r>
        <w:rPr>
          <w:b/>
          <w:bCs/>
          <w:sz w:val="28"/>
          <w:szCs w:val="28"/>
          <w:lang w:val="uk-UA"/>
        </w:rPr>
        <w:t>Ресурсне забезпечення програми</w:t>
      </w:r>
    </w:p>
    <w:p>
      <w:pPr>
        <w:pStyle w:val="Normal"/>
        <w:jc w:val="center"/>
        <w:rPr>
          <w:b/>
          <w:b/>
          <w:bCs/>
          <w:sz w:val="28"/>
          <w:szCs w:val="28"/>
          <w:lang w:val="uk-UA"/>
        </w:rPr>
      </w:pPr>
      <w:r>
        <w:rPr>
          <w:b/>
          <w:bCs/>
          <w:sz w:val="28"/>
          <w:szCs w:val="28"/>
          <w:lang w:val="uk-UA"/>
        </w:rPr>
      </w:r>
    </w:p>
    <w:tbl>
      <w:tblPr>
        <w:tblW w:w="14591" w:type="dxa"/>
        <w:jc w:val="left"/>
        <w:tblInd w:w="-113" w:type="dxa"/>
        <w:tblCellMar>
          <w:top w:w="0" w:type="dxa"/>
          <w:left w:w="108" w:type="dxa"/>
          <w:bottom w:w="0" w:type="dxa"/>
          <w:right w:w="108" w:type="dxa"/>
        </w:tblCellMar>
      </w:tblPr>
      <w:tblGrid>
        <w:gridCol w:w="1593"/>
        <w:gridCol w:w="2625"/>
        <w:gridCol w:w="992"/>
        <w:gridCol w:w="1136"/>
        <w:gridCol w:w="1843"/>
        <w:gridCol w:w="1559"/>
        <w:gridCol w:w="1418"/>
        <w:gridCol w:w="3425"/>
      </w:tblGrid>
      <w:tr>
        <w:trPr>
          <w:trHeight w:val="1610" w:hRule="atLeast"/>
        </w:trPr>
        <w:tc>
          <w:tcPr>
            <w:tcW w:w="1593"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b/>
                <w:b/>
                <w:bCs/>
                <w:color w:val="000000"/>
                <w:lang w:val="uk-UA" w:eastAsia="ru-RU"/>
              </w:rPr>
            </w:pPr>
            <w:r>
              <w:rPr>
                <w:rFonts w:eastAsia="Times New Roman"/>
                <w:b/>
                <w:bCs/>
                <w:color w:val="000000"/>
                <w:lang w:val="uk-UA" w:eastAsia="ru-RU"/>
              </w:rPr>
              <w:t>Найменування завдання</w:t>
            </w:r>
          </w:p>
        </w:tc>
        <w:tc>
          <w:tcPr>
            <w:tcW w:w="2625"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b/>
                <w:b/>
                <w:bCs/>
                <w:color w:val="000000"/>
                <w:lang w:val="uk-UA" w:eastAsia="ru-RU"/>
              </w:rPr>
            </w:pPr>
            <w:r>
              <w:rPr>
                <w:rFonts w:eastAsia="Times New Roman"/>
                <w:b/>
                <w:bCs/>
                <w:color w:val="000000"/>
                <w:lang w:val="uk-UA" w:eastAsia="ru-RU"/>
              </w:rPr>
              <w:t>Найменування заходу</w:t>
            </w:r>
          </w:p>
        </w:tc>
        <w:tc>
          <w:tcPr>
            <w:tcW w:w="992"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Виконавець</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Джерела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pPr>
            <w:r>
              <w:rPr>
                <w:rFonts w:eastAsia="Times New Roman"/>
                <w:b/>
                <w:bCs/>
                <w:color w:val="000000"/>
                <w:lang w:val="uk-UA" w:eastAsia="ru-RU"/>
              </w:rPr>
              <w:t>Планові обсяги фінансування, тис. грн.</w:t>
            </w:r>
            <w:r>
              <w:rPr>
                <w:b/>
                <w:sz w:val="20"/>
                <w:szCs w:val="20"/>
                <w:lang w:val="uk-UA"/>
              </w:rPr>
              <w:t xml:space="preserve"> (тис. 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b/>
                <w:b/>
                <w:bCs/>
                <w:color w:val="000000"/>
                <w:lang w:val="uk-UA" w:eastAsia="ru-RU"/>
              </w:rPr>
            </w:pPr>
            <w:r>
              <w:rPr>
                <w:rFonts w:eastAsia="Times New Roman"/>
                <w:b/>
                <w:bCs/>
                <w:color w:val="000000"/>
                <w:lang w:val="uk-UA" w:eastAsia="ru-RU"/>
              </w:rPr>
              <w:t>Фактичні обсяги фінансування, тис. грн.</w:t>
              <w:br/>
              <w:t>станом на 31.12.2018 р.</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b/>
                <w:b/>
                <w:bCs/>
                <w:color w:val="000000"/>
                <w:lang w:val="uk-UA" w:eastAsia="ru-RU"/>
              </w:rPr>
            </w:pPr>
            <w:r>
              <w:rPr>
                <w:rFonts w:eastAsia="Times New Roman"/>
                <w:b/>
                <w:bCs/>
                <w:color w:val="000000"/>
                <w:lang w:val="uk-UA" w:eastAsia="ru-RU"/>
              </w:rPr>
              <w:t>Факт до плану, %</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b/>
                <w:b/>
                <w:bCs/>
                <w:color w:val="000000"/>
                <w:lang w:val="uk-UA" w:eastAsia="ru-RU"/>
              </w:rPr>
            </w:pPr>
            <w:r>
              <w:rPr>
                <w:rFonts w:eastAsia="Times New Roman"/>
                <w:b/>
                <w:bCs/>
                <w:color w:val="000000"/>
                <w:lang w:val="uk-UA" w:eastAsia="ru-RU"/>
              </w:rPr>
              <w:t>Виконано/не виконано (причини)</w:t>
            </w:r>
          </w:p>
        </w:tc>
      </w:tr>
      <w:tr>
        <w:trPr>
          <w:trHeight w:val="2200" w:hRule="atLeast"/>
        </w:trPr>
        <w:tc>
          <w:tcPr>
            <w:tcW w:w="1593"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6.1. Супро-водження  електронних поштових скриньок в домені gov.ua</w:t>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6.1.1. Підтримка працездатності електронних поштових скриньок відділів міської ради в домені gov.ua</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 xml:space="preserve">Відділ АСУ та ТО, </w:t>
            </w:r>
          </w:p>
          <w:p>
            <w:pPr>
              <w:pStyle w:val="Normal"/>
              <w:ind w:left="0" w:right="-108" w:hanging="0"/>
              <w:rPr>
                <w:lang w:val="uk-UA"/>
              </w:rPr>
            </w:pPr>
            <w:r>
              <w:rPr>
                <w:lang w:val="uk-UA"/>
              </w:rPr>
              <w:t>ПП "НТ-Зв'язок"</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color w:val="000000"/>
                <w:lang w:val="uk-UA"/>
              </w:rPr>
            </w:pPr>
            <w:r>
              <w:rPr>
                <w:color w:val="000000"/>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color w:val="000000"/>
                <w:lang w:val="uk-UA"/>
              </w:rPr>
            </w:pPr>
            <w:r>
              <w:rPr>
                <w:color w:val="000000"/>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 xml:space="preserve">Виконано </w:t>
            </w:r>
          </w:p>
        </w:tc>
      </w:tr>
      <w:tr>
        <w:trPr>
          <w:trHeight w:val="820" w:hRule="atLeast"/>
        </w:trPr>
        <w:tc>
          <w:tcPr>
            <w:tcW w:w="1593"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6.2. Заміна АТС</w:t>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6.2.1. Придбання, монтаж та налагодження АТС</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326,558</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color w:val="000000"/>
                <w:lang w:val="uk-UA"/>
              </w:rPr>
            </w:pPr>
            <w:r>
              <w:rPr>
                <w:b/>
                <w:color w:val="000000"/>
                <w:lang w:val="uk-UA"/>
              </w:rPr>
              <w:t>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color w:val="000000"/>
                <w:lang w:val="uk-UA"/>
              </w:rPr>
            </w:pPr>
            <w:r>
              <w:rPr>
                <w:b/>
                <w:color w:val="000000"/>
                <w:lang w:val="uk-UA"/>
              </w:rPr>
              <w:t>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виконано.</w:t>
            </w:r>
          </w:p>
          <w:p>
            <w:pPr>
              <w:pStyle w:val="Normal"/>
              <w:spacing w:before="120" w:after="0"/>
              <w:ind w:left="0" w:right="-113" w:hanging="0"/>
              <w:jc w:val="center"/>
              <w:rPr>
                <w:lang w:val="uk-UA"/>
              </w:rPr>
            </w:pPr>
            <w:r>
              <w:rPr>
                <w:lang w:val="uk-UA"/>
              </w:rPr>
              <w:t>Не було профінансовано</w:t>
            </w:r>
          </w:p>
        </w:tc>
      </w:tr>
      <w:tr>
        <w:trPr/>
        <w:tc>
          <w:tcPr>
            <w:tcW w:w="1593" w:type="dxa"/>
            <w:vMerge w:val="restart"/>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6.3. Супро-водження  системи голосування, відеосупро-воду та он-лайн трансляцій сесій міської ради</w:t>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6.3.1. Технічне супроводження пленарних засідань сесій міської ради</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lang w:val="uk-UA"/>
              </w:rPr>
            </w:pPr>
            <w:r>
              <w:rPr>
                <w:lang w:val="uk-UA"/>
              </w:rPr>
              <w:t>Виконано</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6.3.2. Модернізація ПТК "Віче"</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56,000</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49,780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89</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br/>
              <w:t>з економією коштів</w:t>
            </w:r>
          </w:p>
        </w:tc>
      </w:tr>
      <w:tr>
        <w:trPr/>
        <w:tc>
          <w:tcPr>
            <w:tcW w:w="1593" w:type="dxa"/>
            <w:vMerge w:val="restart"/>
            <w:tcBorders>
              <w:top w:val="single" w:sz="4" w:space="0" w:color="000000"/>
              <w:left w:val="single" w:sz="4" w:space="0" w:color="000000"/>
            </w:tcBorders>
            <w:shd w:fill="auto" w:val="clear"/>
            <w:vAlign w:val="center"/>
          </w:tcPr>
          <w:p>
            <w:pPr>
              <w:pStyle w:val="Normal"/>
              <w:jc w:val="center"/>
              <w:rPr>
                <w:lang w:val="uk-UA"/>
              </w:rPr>
            </w:pPr>
            <w:r>
              <w:rPr>
                <w:lang w:val="uk-UA"/>
              </w:rPr>
              <w:t>6.4. Технічне супроводження діяльності відділу адміністративних послуг</w:t>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 xml:space="preserve">6.4.1. Технічна підтримка системи керування чергою </w:t>
            </w:r>
          </w:p>
        </w:tc>
        <w:tc>
          <w:tcPr>
            <w:tcW w:w="992"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tc>
      </w:tr>
      <w:tr>
        <w:trPr/>
        <w:tc>
          <w:tcPr>
            <w:tcW w:w="1593" w:type="dxa"/>
            <w:vMerge w:val="continue"/>
            <w:tcBorders>
              <w:top w:val="single" w:sz="4" w:space="0" w:color="000000"/>
              <w:left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6.4.2. Організувати канал зв'язку для підключення до ЄДДР - придбання та інсталяція обладнання каналу</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69,973</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69,974</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100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lang w:val="uk-UA"/>
              </w:rPr>
            </w:pPr>
            <w:r>
              <w:rPr>
                <w:lang w:val="uk-UA"/>
              </w:rPr>
              <w:t>Виконано</w:t>
            </w:r>
          </w:p>
        </w:tc>
      </w:tr>
      <w:tr>
        <w:trPr/>
        <w:tc>
          <w:tcPr>
            <w:tcW w:w="1593" w:type="dxa"/>
            <w:vMerge w:val="continue"/>
            <w:tcBorders>
              <w:top w:val="single" w:sz="4" w:space="0" w:color="000000"/>
              <w:left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6.4.3. Організувати канал зв'язку для підключення до ЄДДР - послуги з підключення каналу конфіденційного  зв’язку в мережі НСКЗ та створення комплексної  системи захисту інформації</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76,027</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66,161</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87</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br/>
              <w:t>з економією коштів</w:t>
            </w:r>
          </w:p>
        </w:tc>
      </w:tr>
      <w:tr>
        <w:trPr/>
        <w:tc>
          <w:tcPr>
            <w:tcW w:w="1593" w:type="dxa"/>
            <w:vMerge w:val="continue"/>
            <w:tcBorders>
              <w:top w:val="single" w:sz="4" w:space="0" w:color="000000"/>
              <w:left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6.4.4. Придбати 2 програмно-апаратних комплексів для реєстрації/зняття з реєстрації місць проживання фізичних осіб</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218,400</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lang w:val="uk-UA"/>
              </w:rPr>
            </w:pPr>
            <w:r>
              <w:rPr>
                <w:lang w:val="uk-UA"/>
              </w:rPr>
              <w:t>Не виконано</w:t>
              <w:br/>
              <w:t>(не було профінансовано)</w:t>
            </w:r>
          </w:p>
        </w:tc>
      </w:tr>
      <w:tr>
        <w:trPr/>
        <w:tc>
          <w:tcPr>
            <w:tcW w:w="1593" w:type="dxa"/>
            <w:vMerge w:val="continue"/>
            <w:tcBorders>
              <w:top w:val="single" w:sz="4" w:space="0" w:color="000000"/>
              <w:left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pPr>
            <w:r>
              <w:rPr>
                <w:lang w:val="uk-UA"/>
              </w:rPr>
              <w:t>6.4.5. Технічна підтримка 2 -х програмно-апаратних комплексів для реєстрації/зняття з реєстрації місць проживання фізичних осіб</w:t>
            </w:r>
            <w:r>
              <w:rPr>
                <w:highlight w:val="cyan"/>
                <w:lang w:val="uk-UA"/>
              </w:rPr>
              <w:t xml:space="preserve"> </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Не виконано</w:t>
              <w:br/>
              <w:t>(техніка не була придбана)</w:t>
            </w:r>
          </w:p>
        </w:tc>
      </w:tr>
      <w:tr>
        <w:trPr/>
        <w:tc>
          <w:tcPr>
            <w:tcW w:w="1593" w:type="dxa"/>
            <w:vMerge w:val="continue"/>
            <w:tcBorders>
              <w:top w:val="single" w:sz="4" w:space="0" w:color="000000"/>
              <w:left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6.4.6.  Придбати 2 робочі станції для оформлення та видачі паспорта громадянина України для виїзду за кордон з електронним носієм або паспорта громадянина України у формі картки</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591,677</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Не виконано</w:t>
              <w:br/>
              <w:t>(не було профінансовано)</w:t>
            </w:r>
          </w:p>
        </w:tc>
      </w:tr>
      <w:tr>
        <w:trPr/>
        <w:tc>
          <w:tcPr>
            <w:tcW w:w="1593" w:type="dxa"/>
            <w:vMerge w:val="continue"/>
            <w:tcBorders>
              <w:top w:val="single" w:sz="4" w:space="0" w:color="000000"/>
              <w:left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6.4.7. Технічна підтримка 2 - х робочих станцій для оформлення та видачі паспорта громадянина України для виїзду за кордон з електронним носієм або паспорта громадянина України у формі картки</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Не виконано</w:t>
              <w:br/>
              <w:t>(техніка не була придбана)</w:t>
            </w:r>
          </w:p>
        </w:tc>
      </w:tr>
      <w:tr>
        <w:trPr>
          <w:trHeight w:val="229" w:hRule="atLeast"/>
        </w:trPr>
        <w:tc>
          <w:tcPr>
            <w:tcW w:w="1593" w:type="dxa"/>
            <w:tcBorders>
              <w:left w:val="single" w:sz="4" w:space="0" w:color="000000"/>
            </w:tcBorders>
            <w:shd w:fill="auto" w:val="clear"/>
            <w:vAlign w:val="center"/>
          </w:tcPr>
          <w:p>
            <w:pPr>
              <w:pStyle w:val="Normal"/>
              <w:snapToGrid w:val="false"/>
              <w:jc w:val="center"/>
              <w:rPr>
                <w:lang w:val="uk-UA"/>
              </w:rPr>
            </w:pPr>
            <w:r>
              <w:rPr>
                <w:lang w:val="uk-UA"/>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6.4.8. Придбати 2 програмно-апаратних комплекси для внесення інформації до ЄДДР та формування витягів з ЄДДР</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67,200</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Не виконано</w:t>
              <w:br/>
              <w:t>(не було профінансовано)</w:t>
            </w:r>
          </w:p>
        </w:tc>
      </w:tr>
      <w:tr>
        <w:trPr>
          <w:trHeight w:val="229" w:hRule="atLeast"/>
        </w:trPr>
        <w:tc>
          <w:tcPr>
            <w:tcW w:w="1593" w:type="dxa"/>
            <w:tcBorders>
              <w:left w:val="single" w:sz="4" w:space="0" w:color="000000"/>
            </w:tcBorders>
            <w:shd w:fill="auto" w:val="clear"/>
            <w:vAlign w:val="center"/>
          </w:tcPr>
          <w:p>
            <w:pPr>
              <w:pStyle w:val="Normal"/>
              <w:snapToGrid w:val="false"/>
              <w:jc w:val="center"/>
              <w:rPr>
                <w:highlight w:val="cyan"/>
                <w:lang w:val="uk-UA"/>
              </w:rPr>
            </w:pPr>
            <w:r>
              <w:rPr>
                <w:highlight w:val="cyan"/>
                <w:lang w:val="uk-UA"/>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6.4.9. Підключити 4 робочих станції до ЄДДР та до Реєстру територіальної громади</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Не виконано</w:t>
              <w:br/>
              <w:t>(2 станції не були придбані,</w:t>
              <w:br/>
              <w:t>для 2-ох не надано приміщення для їх встановлення)</w:t>
            </w:r>
          </w:p>
        </w:tc>
      </w:tr>
      <w:tr>
        <w:trPr>
          <w:trHeight w:val="229" w:hRule="atLeast"/>
        </w:trPr>
        <w:tc>
          <w:tcPr>
            <w:tcW w:w="1593" w:type="dxa"/>
            <w:tcBorders>
              <w:left w:val="single" w:sz="4" w:space="0" w:color="000000"/>
            </w:tcBorders>
            <w:shd w:fill="auto" w:val="clear"/>
            <w:vAlign w:val="center"/>
          </w:tcPr>
          <w:p>
            <w:pPr>
              <w:pStyle w:val="Normal"/>
              <w:snapToGrid w:val="false"/>
              <w:jc w:val="center"/>
              <w:rPr>
                <w:lang w:val="uk-UA"/>
              </w:rPr>
            </w:pPr>
            <w:r>
              <w:rPr>
                <w:lang w:val="uk-UA"/>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6.4.10. Технічна підтримка програмно-апаратного комплексу для внесення інформації до ЄДДР та формування витягів з ЄДДР</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Не виконано</w:t>
              <w:br/>
              <w:t>(комплекси не були придбані)</w:t>
            </w:r>
          </w:p>
        </w:tc>
      </w:tr>
      <w:tr>
        <w:trPr>
          <w:trHeight w:val="229" w:hRule="atLeast"/>
        </w:trPr>
        <w:tc>
          <w:tcPr>
            <w:tcW w:w="1593" w:type="dxa"/>
            <w:tcBorders>
              <w:left w:val="single" w:sz="4" w:space="0" w:color="000000"/>
            </w:tcBorders>
            <w:shd w:fill="auto" w:val="clear"/>
            <w:vAlign w:val="center"/>
          </w:tcPr>
          <w:p>
            <w:pPr>
              <w:pStyle w:val="Normal"/>
              <w:snapToGrid w:val="false"/>
              <w:jc w:val="center"/>
              <w:rPr>
                <w:lang w:val="uk-UA"/>
              </w:rPr>
            </w:pPr>
            <w:r>
              <w:rPr>
                <w:lang w:val="uk-UA"/>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6.4.11. Технічна підтримка 3-х програмно-апаратних комплексів для внесення інформації до Реєстру речових прав та нерухомого майна</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tc>
      </w:tr>
      <w:tr>
        <w:trPr>
          <w:trHeight w:val="229" w:hRule="atLeast"/>
        </w:trPr>
        <w:tc>
          <w:tcPr>
            <w:tcW w:w="1593" w:type="dxa"/>
            <w:tcBorders>
              <w:left w:val="single" w:sz="4" w:space="0" w:color="000000"/>
            </w:tcBorders>
            <w:shd w:fill="auto" w:val="clear"/>
            <w:vAlign w:val="center"/>
          </w:tcPr>
          <w:p>
            <w:pPr>
              <w:pStyle w:val="Normal"/>
              <w:snapToGrid w:val="false"/>
              <w:jc w:val="center"/>
              <w:rPr>
                <w:lang w:val="uk-UA"/>
              </w:rPr>
            </w:pPr>
            <w:r>
              <w:rPr>
                <w:lang w:val="uk-UA"/>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6.4.12. Технічна підтримка 3-х програмно-апаратних комплексів для внесення інформації до Реєстру юридичних осіб та фізичних осіб-підприємців</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tc>
      </w:tr>
      <w:tr>
        <w:trPr>
          <w:trHeight w:val="229" w:hRule="atLeast"/>
        </w:trPr>
        <w:tc>
          <w:tcPr>
            <w:tcW w:w="1593" w:type="dxa"/>
            <w:tcBorders>
              <w:left w:val="single" w:sz="4" w:space="0" w:color="000000"/>
            </w:tcBorders>
            <w:shd w:fill="auto" w:val="clear"/>
            <w:vAlign w:val="center"/>
          </w:tcPr>
          <w:p>
            <w:pPr>
              <w:pStyle w:val="Normal"/>
              <w:snapToGrid w:val="false"/>
              <w:jc w:val="center"/>
              <w:rPr>
                <w:lang w:val="uk-UA"/>
              </w:rPr>
            </w:pPr>
            <w:r>
              <w:rPr>
                <w:lang w:val="uk-UA"/>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6.4.13.  Технічна підтримка 30 робочих місць відділу адміністративних послуг</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tc>
      </w:tr>
      <w:tr>
        <w:trPr>
          <w:trHeight w:val="229" w:hRule="atLeast"/>
        </w:trPr>
        <w:tc>
          <w:tcPr>
            <w:tcW w:w="1593" w:type="dxa"/>
            <w:tcBorders>
              <w:left w:val="single" w:sz="4" w:space="0" w:color="000000"/>
              <w:bottom w:val="single" w:sz="4" w:space="0" w:color="000000"/>
            </w:tcBorders>
            <w:shd w:fill="auto" w:val="clear"/>
            <w:vAlign w:val="center"/>
          </w:tcPr>
          <w:p>
            <w:pPr>
              <w:pStyle w:val="Normal"/>
              <w:snapToGrid w:val="false"/>
              <w:jc w:val="center"/>
              <w:rPr>
                <w:lang w:val="uk-UA"/>
              </w:rPr>
            </w:pPr>
            <w:r>
              <w:rPr>
                <w:lang w:val="uk-UA"/>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6.4.14. Технічна підтримка АТС Panasonic KX-TDA100D відділу адміністративних послуг</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tc>
      </w:tr>
      <w:tr>
        <w:trPr>
          <w:trHeight w:val="229" w:hRule="atLeast"/>
        </w:trPr>
        <w:tc>
          <w:tcPr>
            <w:tcW w:w="1593" w:type="dxa"/>
            <w:vMerge w:val="restart"/>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6.5. Модерні-зувати та обслужити інформа-ційну інфраструк-туру</w:t>
              <w:br/>
              <w:t>міської ради</w:t>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6.5.1. Придбати комп'ютерну, периферійну та оргтехніку</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599,937</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971,377</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162</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br/>
              <w:t>з перевищенням</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6.5.2. Послуги з ліцензування програмного забезпечення</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612,599</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784,816</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128</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br/>
              <w:t>з перевищенням</w:t>
            </w:r>
          </w:p>
        </w:tc>
      </w:tr>
      <w:tr>
        <w:trPr>
          <w:trHeight w:val="889" w:hRule="atLeast"/>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 xml:space="preserve">6.5.3. Послуги з технічного обслуговування та ремонту обладнання </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53,938</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106,572</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197,6</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br/>
              <w:t>з перевищенням</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6.5.4. Послуги доступу до Інтернет та електронної пошти</w:t>
            </w:r>
          </w:p>
        </w:tc>
        <w:tc>
          <w:tcPr>
            <w:tcW w:w="992"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14,4</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14,4</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100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tc>
      </w:tr>
      <w:tr>
        <w:trPr>
          <w:trHeight w:val="780" w:hRule="atLeast"/>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6.5.5. Технічна підтримка  системи "Законодавство"</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5,821</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8,280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142,2</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br/>
              <w:t>з перевищенням</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6.5.6. Створення системи відеоспостереження</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153,310</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lang w:val="uk-UA"/>
              </w:rPr>
            </w:pPr>
            <w:r>
              <w:rPr>
                <w:lang w:val="uk-UA"/>
              </w:rPr>
              <w:t>Не виконано</w:t>
              <w:br/>
              <w:t>(не було профінансовано)</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Normal"/>
              <w:rPr>
                <w:lang w:val="uk-UA"/>
              </w:rPr>
            </w:pPr>
            <w:r>
              <w:rPr>
                <w:lang w:val="uk-UA"/>
              </w:rPr>
              <w:t>6.5.7. Устаткування для автоматичного оброблення інформації та витратні матеріали  до нього</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131,706</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87,517</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66,5</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lang w:val="uk-UA"/>
              </w:rPr>
            </w:pPr>
            <w:r>
              <w:rPr>
                <w:lang w:val="uk-UA"/>
              </w:rPr>
              <w:t>Виконано</w:t>
              <w:br/>
              <w:t>з економією коштів</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tcPr>
          <w:p>
            <w:pPr>
              <w:pStyle w:val="HTML"/>
              <w:numPr>
                <w:ilvl w:val="0"/>
                <w:numId w:val="7"/>
              </w:numPr>
              <w:tabs>
                <w:tab w:val="clear" w:pos="916"/>
                <w:tab w:val="clear" w:pos="1832"/>
                <w:tab w:val="clear" w:pos="2748"/>
                <w:tab w:val="left" w:pos="249" w:leader="none"/>
                <w:tab w:val="left" w:pos="141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249" w:right="0" w:hanging="247"/>
              <w:rPr>
                <w:rFonts w:ascii="Times New Roman" w:hAnsi="Times New Roman" w:cs="Times New Roman"/>
                <w:sz w:val="24"/>
                <w:szCs w:val="24"/>
                <w:lang w:val="uk-UA"/>
              </w:rPr>
            </w:pPr>
            <w:r>
              <w:rPr>
                <w:rFonts w:cs="Times New Roman" w:ascii="Times New Roman" w:hAnsi="Times New Roman"/>
                <w:sz w:val="24"/>
                <w:szCs w:val="24"/>
                <w:lang w:val="uk-UA"/>
              </w:rPr>
              <w:t>6.5.8. Супровід та оновлення програмного забезпечення</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br/>
              <w:t>(Загалом супроводжувалося 6 ліцензійих комп'ютерних програм)</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vAlign w:val="center"/>
          </w:tcPr>
          <w:p>
            <w:pPr>
              <w:pStyle w:val="HTML"/>
              <w:tabs>
                <w:tab w:val="clear" w:pos="1832"/>
                <w:tab w:val="clear" w:pos="2748"/>
                <w:tab w:val="left" w:pos="916" w:leader="none"/>
                <w:tab w:val="left" w:pos="141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sz w:val="24"/>
                <w:szCs w:val="24"/>
                <w:lang w:val="uk-UA"/>
              </w:rPr>
              <w:t>6.5.9. Налаштування пристрою мережевої безпеки WatchGuard Firebox M200</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p>
            <w:pPr>
              <w:pStyle w:val="Normal"/>
              <w:jc w:val="center"/>
              <w:rPr/>
            </w:pPr>
            <w:r>
              <w:rPr>
                <w:lang w:val="uk-UA"/>
              </w:rPr>
              <w:t>(Виконання вимог законодавства щодо захисту інформації в інформаційно-телекомунікаційних системах)</w:t>
            </w:r>
          </w:p>
        </w:tc>
      </w:tr>
      <w:tr>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6.5.10. Супровід ПЗ, розробленого програмістами відділу</w:t>
            </w:r>
          </w:p>
          <w:p>
            <w:pPr>
              <w:pStyle w:val="Normal"/>
              <w:tabs>
                <w:tab w:val="clear" w:pos="709"/>
                <w:tab w:val="left" w:pos="249" w:leader="none"/>
              </w:tabs>
              <w:suppressAutoHyphens w:val="false"/>
              <w:ind w:left="63" w:right="0" w:hanging="0"/>
              <w:rPr>
                <w:lang w:val="uk-UA"/>
              </w:rPr>
            </w:pPr>
            <w:r>
              <w:rPr>
                <w:lang w:val="uk-UA"/>
              </w:rPr>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lang w:val="uk-UA"/>
              </w:rPr>
            </w:pPr>
            <w:r>
              <w:rPr>
                <w:lang w:val="uk-UA"/>
              </w:rPr>
              <w:t>Виконано.</w:t>
              <w:br/>
              <w:t>(Загалом супроводжувалося 26 комп'ютерних програм, в них</w:t>
              <w:br/>
              <w:t>вносилися зміни відповідно до змін в законодавстві України)</w:t>
            </w:r>
          </w:p>
        </w:tc>
      </w:tr>
      <w:tr>
        <w:trPr/>
        <w:tc>
          <w:tcPr>
            <w:tcW w:w="15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6.6. Захистити інформацію у режимно-секретному органі Сєвєродонецької міської ради</w:t>
            </w:r>
          </w:p>
        </w:tc>
        <w:tc>
          <w:tcPr>
            <w:tcW w:w="2625" w:type="dxa"/>
            <w:tcBorders>
              <w:top w:val="single" w:sz="4" w:space="0" w:color="000000"/>
              <w:left w:val="single" w:sz="4" w:space="0" w:color="000000"/>
              <w:bottom w:val="single" w:sz="4" w:space="0" w:color="000000"/>
            </w:tcBorders>
            <w:shd w:fill="auto" w:val="clear"/>
            <w:vAlign w:val="center"/>
          </w:tcPr>
          <w:p>
            <w:pPr>
              <w:pStyle w:val="HTML"/>
              <w:tabs>
                <w:tab w:val="clear" w:pos="1832"/>
                <w:tab w:val="clear" w:pos="2748"/>
                <w:tab w:val="left" w:pos="916" w:leader="none"/>
                <w:tab w:val="left" w:pos="141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pPr>
            <w:r>
              <w:rPr>
                <w:rFonts w:cs="Times New Roman" w:ascii="Times New Roman" w:hAnsi="Times New Roman"/>
                <w:sz w:val="24"/>
                <w:szCs w:val="24"/>
                <w:lang w:val="uk-UA"/>
              </w:rPr>
              <w:t>6.6.1. Адміністрування програмно-технічних засобів захисту інформації в режимно-секретному</w:t>
            </w:r>
            <w:r>
              <w:rPr>
                <w:lang w:val="uk-UA"/>
              </w:rPr>
              <w:t xml:space="preserve"> </w:t>
            </w:r>
            <w:r>
              <w:rPr>
                <w:rFonts w:cs="Times New Roman" w:ascii="Times New Roman" w:hAnsi="Times New Roman"/>
                <w:sz w:val="24"/>
                <w:szCs w:val="24"/>
                <w:lang w:val="uk-UA"/>
              </w:rPr>
              <w:t>органі міської ради</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p>
            <w:pPr>
              <w:pStyle w:val="Normal"/>
              <w:rPr>
                <w:lang w:val="uk-UA"/>
              </w:rPr>
            </w:pPr>
            <w:r>
              <w:rPr>
                <w:lang w:val="uk-UA"/>
              </w:rPr>
              <w:t>РСО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tc>
      </w:tr>
      <w:tr>
        <w:trPr>
          <w:trHeight w:val="2842" w:hRule="atLeast"/>
        </w:trPr>
        <w:tc>
          <w:tcPr>
            <w:tcW w:w="1593" w:type="dxa"/>
            <w:tcBorders>
              <w:top w:val="single" w:sz="4" w:space="0" w:color="000000"/>
              <w:left w:val="single" w:sz="4" w:space="0" w:color="000000"/>
              <w:bottom w:val="single" w:sz="4" w:space="0" w:color="000000"/>
            </w:tcBorders>
            <w:shd w:fill="auto" w:val="clear"/>
          </w:tcPr>
          <w:p>
            <w:pPr>
              <w:pStyle w:val="Normal"/>
              <w:jc w:val="center"/>
              <w:rPr/>
            </w:pPr>
            <w:r>
              <w:rPr>
                <w:lang w:val="uk-UA"/>
              </w:rPr>
              <w:t>6.7.</w:t>
              <w:br/>
              <w:t>Впровадити систему електрон-ного документо-обігу в Сєвєродоне-цькій міській раді</w:t>
            </w:r>
            <w:r>
              <w:rPr>
                <w:color w:val="FF0000"/>
                <w:lang w:val="uk-UA"/>
              </w:rPr>
              <w:t xml:space="preserve"> </w:t>
            </w:r>
          </w:p>
        </w:tc>
        <w:tc>
          <w:tcPr>
            <w:tcW w:w="2625"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6.7.1. Закупівля та впровадження системи електронного документообігу</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741,235</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0</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lang w:val="uk-UA"/>
              </w:rPr>
            </w:pPr>
            <w:r>
              <w:rPr>
                <w:lang w:val="uk-UA"/>
              </w:rPr>
              <w:t>Не виконано</w:t>
              <w:br/>
              <w:t>(не було профінансовано)</w:t>
            </w:r>
          </w:p>
        </w:tc>
      </w:tr>
      <w:tr>
        <w:trPr>
          <w:trHeight w:val="3959" w:hRule="atLeast"/>
        </w:trPr>
        <w:tc>
          <w:tcPr>
            <w:tcW w:w="1593" w:type="dxa"/>
            <w:tcBorders>
              <w:top w:val="single" w:sz="4" w:space="0" w:color="000000"/>
              <w:left w:val="single" w:sz="4" w:space="0" w:color="000000"/>
              <w:bottom w:val="single" w:sz="4" w:space="0" w:color="000000"/>
            </w:tcBorders>
            <w:shd w:fill="auto" w:val="clear"/>
            <w:vAlign w:val="center"/>
          </w:tcPr>
          <w:p>
            <w:pPr>
              <w:pStyle w:val="Normal"/>
              <w:rPr/>
            </w:pPr>
            <w:r>
              <w:rPr>
                <w:lang w:val="uk-UA"/>
              </w:rPr>
              <w:t xml:space="preserve">6.8. Впровадити  надання адміністративних послуг </w:t>
            </w:r>
            <w:r>
              <w:rPr>
                <w:b/>
                <w:lang w:val="uk-UA"/>
              </w:rPr>
              <w:t xml:space="preserve">з </w:t>
            </w:r>
            <w:r>
              <w:rPr>
                <w:lang w:val="uk-UA"/>
              </w:rPr>
              <w:t>використа-нням сучасних ІКТ</w:t>
            </w:r>
          </w:p>
        </w:tc>
        <w:tc>
          <w:tcPr>
            <w:tcW w:w="2625" w:type="dxa"/>
            <w:tcBorders>
              <w:top w:val="single" w:sz="4" w:space="0" w:color="000000"/>
              <w:left w:val="single" w:sz="4" w:space="0" w:color="000000"/>
              <w:bottom w:val="single" w:sz="4" w:space="0" w:color="000000"/>
            </w:tcBorders>
            <w:shd w:fill="auto" w:val="clear"/>
            <w:vAlign w:val="center"/>
          </w:tcPr>
          <w:p>
            <w:pPr>
              <w:pStyle w:val="Normal"/>
              <w:spacing w:before="120" w:after="0"/>
              <w:rPr>
                <w:lang w:val="uk-UA"/>
              </w:rPr>
            </w:pPr>
            <w:r>
              <w:rPr>
                <w:lang w:val="uk-UA"/>
              </w:rPr>
              <w:t>6.8.1.</w:t>
            </w:r>
          </w:p>
          <w:p>
            <w:pPr>
              <w:pStyle w:val="Normal"/>
              <w:rPr/>
            </w:pPr>
            <w:r>
              <w:rPr>
                <w:lang w:val="uk-UA"/>
              </w:rPr>
              <w:t>Впровадження надання адміністративних послуг з</w:t>
            </w:r>
            <w:r>
              <w:rPr>
                <w:b/>
                <w:lang w:val="uk-UA"/>
              </w:rPr>
              <w:t xml:space="preserve"> </w:t>
            </w:r>
            <w:r>
              <w:rPr>
                <w:lang w:val="uk-UA"/>
              </w:rPr>
              <w:t>використанням сучасних ІКТ</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p>
            <w:pPr>
              <w:pStyle w:val="Normal"/>
              <w:rPr>
                <w:lang w:val="uk-UA"/>
              </w:rPr>
            </w:pPr>
            <w:r>
              <w:rPr>
                <w:lang w:val="uk-UA"/>
              </w:rPr>
              <w:t>відділ адміністративних послуг, відділи міської ради,</w:t>
            </w:r>
          </w:p>
          <w:p>
            <w:pPr>
              <w:pStyle w:val="Normal"/>
              <w:rPr/>
            </w:pPr>
            <w:r>
              <w:rPr>
                <w:lang w:val="uk-UA"/>
              </w:rPr>
              <w:t xml:space="preserve">портал </w:t>
            </w:r>
            <w:hyperlink r:id="rId4">
              <w:r>
                <w:rPr>
                  <w:rStyle w:val="Style16"/>
                  <w:rFonts w:cs="Arial" w:ascii="Arial" w:hAnsi="Arial"/>
                  <w:color w:val="000000"/>
                  <w:lang w:val="uk-UA"/>
                </w:rPr>
                <w:t>iGov.org.ua</w:t>
              </w:r>
            </w:hyperlink>
            <w:r>
              <w:rPr>
                <w:lang w:val="uk-UA"/>
              </w:rPr>
              <w:t xml:space="preserve"> </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не потребує фінансування</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Виконано.</w:t>
            </w:r>
          </w:p>
          <w:p>
            <w:pPr>
              <w:pStyle w:val="Normal"/>
              <w:jc w:val="center"/>
              <w:rPr>
                <w:sz w:val="16"/>
                <w:szCs w:val="16"/>
                <w:lang w:val="uk-UA"/>
              </w:rPr>
            </w:pPr>
            <w:r>
              <w:rPr>
                <w:sz w:val="16"/>
                <w:szCs w:val="16"/>
                <w:lang w:val="uk-UA"/>
              </w:rPr>
            </w:r>
          </w:p>
          <w:p>
            <w:pPr>
              <w:pStyle w:val="Normal"/>
              <w:jc w:val="center"/>
              <w:rPr>
                <w:lang w:val="uk-UA"/>
              </w:rPr>
            </w:pPr>
            <w:r>
              <w:rPr>
                <w:lang w:val="uk-UA"/>
              </w:rPr>
              <w:t>Впроваджено 5 послуг повного циклу (запит на послугу та надання послуги відбувається в електронному вигляді) та 2 послуги часткового циклу (запит - в електронному вигляді, надання послуги - в паперовому вигляді)</w:t>
            </w:r>
          </w:p>
        </w:tc>
      </w:tr>
      <w:tr>
        <w:trPr>
          <w:trHeight w:val="713" w:hRule="atLeast"/>
        </w:trPr>
        <w:tc>
          <w:tcPr>
            <w:tcW w:w="1593" w:type="dxa"/>
            <w:vMerge w:val="restart"/>
            <w:tcBorders>
              <w:top w:val="single" w:sz="4" w:space="0" w:color="000000"/>
              <w:left w:val="single" w:sz="4" w:space="0" w:color="000000"/>
              <w:bottom w:val="single" w:sz="4" w:space="0" w:color="000000"/>
            </w:tcBorders>
            <w:shd w:fill="auto" w:val="clear"/>
            <w:vAlign w:val="center"/>
          </w:tcPr>
          <w:p>
            <w:pPr>
              <w:pStyle w:val="Normal"/>
              <w:ind w:left="0" w:right="129" w:hanging="0"/>
              <w:rPr>
                <w:rFonts w:eastAsia="Times New Roman"/>
                <w:color w:val="000000"/>
                <w:lang w:val="uk-UA" w:eastAsia="ru-RU"/>
              </w:rPr>
            </w:pPr>
            <w:r>
              <w:rPr>
                <w:rFonts w:eastAsia="Times New Roman"/>
                <w:color w:val="000000"/>
                <w:lang w:val="uk-UA" w:eastAsia="ru-RU"/>
              </w:rPr>
              <w:t>7.0. Додаткові заходи</w:t>
            </w:r>
          </w:p>
        </w:tc>
        <w:tc>
          <w:tcPr>
            <w:tcW w:w="2625" w:type="dxa"/>
            <w:tcBorders>
              <w:top w:val="single" w:sz="4" w:space="0" w:color="000000"/>
              <w:left w:val="single" w:sz="4" w:space="0" w:color="000000"/>
              <w:bottom w:val="single" w:sz="4" w:space="0" w:color="000000"/>
            </w:tcBorders>
            <w:shd w:fill="auto" w:val="clear"/>
            <w:vAlign w:val="center"/>
          </w:tcPr>
          <w:p>
            <w:pPr>
              <w:pStyle w:val="Normal"/>
              <w:ind w:left="0" w:right="129" w:hanging="0"/>
              <w:rPr>
                <w:lang w:val="uk-UA"/>
              </w:rPr>
            </w:pPr>
            <w:r>
              <w:rPr>
                <w:lang w:val="uk-UA"/>
              </w:rPr>
              <w:t>7.1. Обстеження інформаційної інфраструктури міської ради</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47,700</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color w:val="000000"/>
                <w:lang w:val="uk-UA" w:eastAsia="ru-RU"/>
              </w:rPr>
            </w:pPr>
            <w:r>
              <w:rPr>
                <w:rFonts w:eastAsia="Times New Roman"/>
                <w:color w:val="000000"/>
                <w:lang w:val="uk-UA" w:eastAsia="ru-RU"/>
              </w:rPr>
              <w:t>Виконано</w:t>
            </w:r>
          </w:p>
        </w:tc>
      </w:tr>
      <w:tr>
        <w:trPr>
          <w:trHeight w:val="713" w:hRule="atLeast"/>
        </w:trPr>
        <w:tc>
          <w:tcPr>
            <w:tcW w:w="1593"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2625" w:type="dxa"/>
            <w:tcBorders>
              <w:top w:val="single" w:sz="4" w:space="0" w:color="000000"/>
              <w:left w:val="single" w:sz="4" w:space="0" w:color="000000"/>
              <w:bottom w:val="single" w:sz="4" w:space="0" w:color="000000"/>
            </w:tcBorders>
            <w:shd w:fill="auto" w:val="clear"/>
            <w:vAlign w:val="center"/>
          </w:tcPr>
          <w:p>
            <w:pPr>
              <w:pStyle w:val="Normal"/>
              <w:ind w:left="0" w:right="129" w:hanging="0"/>
              <w:rPr>
                <w:lang w:val="uk-UA"/>
              </w:rPr>
            </w:pPr>
            <w:r>
              <w:rPr>
                <w:lang w:val="uk-UA"/>
              </w:rPr>
              <w:t>7.2. Шефська допомогу військовим частинам Збройних Сил України</w:t>
            </w:r>
          </w:p>
        </w:tc>
        <w:tc>
          <w:tcPr>
            <w:tcW w:w="992" w:type="dxa"/>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Відділ АСУ та ТО</w:t>
            </w:r>
          </w:p>
        </w:tc>
        <w:tc>
          <w:tcPr>
            <w:tcW w:w="1136"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Місце-вий бюджет</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685,701</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Fonts w:eastAsia="Times New Roman"/>
                <w:color w:val="000000"/>
                <w:lang w:val="uk-UA" w:eastAsia="ru-RU"/>
              </w:rPr>
              <w:t>Виконано</w:t>
              <w:br/>
              <w:t>(</w:t>
            </w:r>
            <w:r>
              <w:rPr>
                <w:bCs/>
                <w:lang w:val="uk-UA"/>
              </w:rPr>
              <w:t>44 ноутбуки, 3 планшети, 1 принтер, 10 картриджів)</w:t>
            </w:r>
          </w:p>
        </w:tc>
      </w:tr>
      <w:tr>
        <w:trPr>
          <w:trHeight w:val="713" w:hRule="atLeast"/>
        </w:trPr>
        <w:tc>
          <w:tcPr>
            <w:tcW w:w="6346" w:type="dxa"/>
            <w:gridSpan w:val="4"/>
            <w:tcBorders>
              <w:top w:val="single" w:sz="4" w:space="0" w:color="000000"/>
              <w:left w:val="single" w:sz="4" w:space="0" w:color="000000"/>
              <w:bottom w:val="single" w:sz="4" w:space="0" w:color="000000"/>
            </w:tcBorders>
            <w:shd w:fill="auto" w:val="clear"/>
            <w:vAlign w:val="center"/>
          </w:tcPr>
          <w:p>
            <w:pPr>
              <w:pStyle w:val="Normal"/>
              <w:ind w:left="0" w:right="129" w:hanging="0"/>
              <w:jc w:val="right"/>
              <w:rPr>
                <w:rFonts w:eastAsia="Times New Roman"/>
                <w:b/>
                <w:b/>
                <w:color w:val="000000"/>
                <w:lang w:val="uk-UA" w:eastAsia="ru-RU"/>
              </w:rPr>
            </w:pPr>
            <w:r>
              <w:rPr>
                <w:rFonts w:eastAsia="Times New Roman"/>
                <w:b/>
                <w:color w:val="000000"/>
                <w:lang w:val="uk-UA" w:eastAsia="ru-RU"/>
              </w:rPr>
              <w:t>ВСЬОГО:</w:t>
            </w:r>
          </w:p>
        </w:tc>
        <w:tc>
          <w:tcPr>
            <w:tcW w:w="1843"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3 718,781</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2 892,278</w:t>
            </w:r>
          </w:p>
        </w:tc>
        <w:tc>
          <w:tcPr>
            <w:tcW w:w="1418" w:type="dxa"/>
            <w:tcBorders>
              <w:top w:val="single" w:sz="4" w:space="0" w:color="000000"/>
              <w:left w:val="single" w:sz="4" w:space="0" w:color="000000"/>
              <w:bottom w:val="single" w:sz="4" w:space="0" w:color="000000"/>
            </w:tcBorders>
            <w:shd w:fill="auto" w:val="clear"/>
            <w:vAlign w:val="center"/>
          </w:tcPr>
          <w:p>
            <w:pPr>
              <w:pStyle w:val="Normal"/>
              <w:jc w:val="center"/>
              <w:rPr>
                <w:b/>
                <w:b/>
                <w:lang w:val="uk-UA"/>
              </w:rPr>
            </w:pPr>
            <w:r>
              <w:rPr>
                <w:b/>
                <w:lang w:val="uk-UA"/>
              </w:rPr>
              <w:t>77,8</w:t>
            </w:r>
          </w:p>
        </w:tc>
        <w:tc>
          <w:tcPr>
            <w:tcW w:w="34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eastAsia="Times New Roman"/>
                <w:b/>
                <w:b/>
                <w:color w:val="000000"/>
                <w:lang w:val="uk-UA" w:eastAsia="ru-RU"/>
              </w:rPr>
            </w:pPr>
            <w:r>
              <w:rPr>
                <w:rFonts w:eastAsia="Times New Roman"/>
                <w:b/>
                <w:color w:val="000000"/>
                <w:lang w:val="uk-UA" w:eastAsia="ru-RU"/>
              </w:rPr>
              <w:t>Місцевий бюджет</w:t>
            </w:r>
          </w:p>
        </w:tc>
      </w:tr>
    </w:tbl>
    <w:p>
      <w:pPr>
        <w:pStyle w:val="Normal"/>
        <w:jc w:val="center"/>
        <w:rPr>
          <w:b/>
          <w:b/>
          <w:bCs/>
          <w:sz w:val="28"/>
          <w:szCs w:val="28"/>
          <w:lang w:val="uk-UA"/>
        </w:rPr>
      </w:pPr>
      <w:r>
        <w:rPr>
          <w:b/>
          <w:bCs/>
          <w:sz w:val="28"/>
          <w:szCs w:val="28"/>
          <w:lang w:val="uk-UA"/>
        </w:rPr>
      </w:r>
      <w:r>
        <w:br w:type="page"/>
      </w:r>
    </w:p>
    <w:p>
      <w:pPr>
        <w:pStyle w:val="Normal"/>
        <w:ind w:left="10490" w:right="0" w:hanging="0"/>
        <w:rPr/>
      </w:pPr>
      <w:r>
        <w:rPr>
          <w:lang w:val="uk-UA"/>
        </w:rPr>
        <w:t>Додаток 2</w:t>
        <w:br/>
        <w:t xml:space="preserve">до заключного звіту </w:t>
      </w:r>
      <w:r>
        <w:rPr>
          <w:bCs/>
          <w:lang w:val="uk-UA"/>
        </w:rPr>
        <w:t>про результати виконання</w:t>
      </w:r>
    </w:p>
    <w:p>
      <w:pPr>
        <w:pStyle w:val="Normal"/>
        <w:ind w:left="10490" w:right="0" w:hanging="0"/>
        <w:rPr>
          <w:bCs/>
          <w:lang w:val="uk-UA"/>
        </w:rPr>
      </w:pPr>
      <w:r>
        <w:rPr>
          <w:bCs/>
          <w:lang w:val="uk-UA"/>
        </w:rPr>
        <w:t>«Програми інформатизації</w:t>
      </w:r>
    </w:p>
    <w:p>
      <w:pPr>
        <w:pStyle w:val="Normal"/>
        <w:ind w:left="10490" w:right="0" w:hanging="0"/>
        <w:rPr>
          <w:bCs/>
          <w:lang w:val="uk-UA"/>
        </w:rPr>
      </w:pPr>
      <w:r>
        <w:rPr>
          <w:bCs/>
          <w:lang w:val="uk-UA"/>
        </w:rPr>
        <w:t>Сєвєродонецької міської ради за 2018 рік»</w:t>
      </w:r>
    </w:p>
    <w:p>
      <w:pPr>
        <w:pStyle w:val="Normal"/>
        <w:ind w:left="10490" w:right="0" w:hanging="0"/>
        <w:rPr>
          <w:bCs/>
          <w:lang w:val="uk-UA"/>
        </w:rPr>
      </w:pPr>
      <w:r>
        <w:rPr>
          <w:bCs/>
          <w:lang w:val="uk-UA"/>
        </w:rPr>
      </w:r>
    </w:p>
    <w:p>
      <w:pPr>
        <w:pStyle w:val="Normal"/>
        <w:jc w:val="center"/>
        <w:rPr/>
      </w:pPr>
      <w:r>
        <w:rPr/>
        <w:t xml:space="preserve">Результативні показники програми </w:t>
      </w:r>
    </w:p>
    <w:tbl>
      <w:tblPr>
        <w:tblW w:w="15429" w:type="dxa"/>
        <w:jc w:val="left"/>
        <w:tblInd w:w="-113" w:type="dxa"/>
        <w:tblCellMar>
          <w:top w:w="0" w:type="dxa"/>
          <w:left w:w="108" w:type="dxa"/>
          <w:bottom w:w="0" w:type="dxa"/>
          <w:right w:w="108" w:type="dxa"/>
        </w:tblCellMar>
      </w:tblPr>
      <w:tblGrid>
        <w:gridCol w:w="2508"/>
        <w:gridCol w:w="7239"/>
        <w:gridCol w:w="993"/>
        <w:gridCol w:w="1559"/>
        <w:gridCol w:w="1560"/>
        <w:gridCol w:w="1570"/>
      </w:tblGrid>
      <w:tr>
        <w:trPr/>
        <w:tc>
          <w:tcPr>
            <w:tcW w:w="2508"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b/>
                <w:b/>
                <w:bCs/>
                <w:lang w:val="uk-UA"/>
              </w:rPr>
            </w:pPr>
            <w:r>
              <w:rPr>
                <w:b/>
                <w:bCs/>
                <w:lang w:val="uk-UA"/>
              </w:rPr>
              <w:t>Найменування завдання</w:t>
            </w:r>
          </w:p>
        </w:tc>
        <w:tc>
          <w:tcPr>
            <w:tcW w:w="7239"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b/>
                <w:b/>
                <w:bCs/>
                <w:lang w:val="uk-UA"/>
              </w:rPr>
            </w:pPr>
            <w:r>
              <w:rPr>
                <w:b/>
                <w:bCs/>
                <w:lang w:val="uk-UA"/>
              </w:rPr>
              <w:t>Найменування показника</w:t>
            </w:r>
          </w:p>
        </w:tc>
        <w:tc>
          <w:tcPr>
            <w:tcW w:w="993"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b/>
                <w:b/>
                <w:bCs/>
                <w:lang w:val="uk-UA"/>
              </w:rPr>
            </w:pPr>
            <w:r>
              <w:rPr>
                <w:b/>
                <w:bCs/>
                <w:lang w:val="uk-UA"/>
              </w:rPr>
              <w:t>Одиниця виміру</w:t>
            </w:r>
          </w:p>
        </w:tc>
        <w:tc>
          <w:tcPr>
            <w:tcW w:w="1559"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b/>
                <w:b/>
                <w:bCs/>
                <w:color w:val="000000"/>
                <w:lang w:val="uk-UA"/>
              </w:rPr>
            </w:pPr>
            <w:r>
              <w:rPr>
                <w:b/>
                <w:bCs/>
                <w:color w:val="000000"/>
                <w:lang w:val="uk-UA"/>
              </w:rPr>
              <w:t>Очікувані результати</w:t>
            </w:r>
          </w:p>
        </w:tc>
        <w:tc>
          <w:tcPr>
            <w:tcW w:w="1560" w:type="dxa"/>
            <w:tcBorders>
              <w:top w:val="single" w:sz="4" w:space="0" w:color="000000"/>
              <w:left w:val="single" w:sz="4" w:space="0" w:color="000000"/>
              <w:bottom w:val="single" w:sz="4" w:space="0" w:color="000000"/>
            </w:tcBorders>
            <w:shd w:fill="auto" w:val="clear"/>
            <w:vAlign w:val="center"/>
          </w:tcPr>
          <w:p>
            <w:pPr>
              <w:pStyle w:val="Normal"/>
              <w:suppressAutoHyphens w:val="false"/>
              <w:jc w:val="center"/>
              <w:rPr>
                <w:rFonts w:eastAsia="Times New Roman"/>
                <w:b/>
                <w:b/>
                <w:bCs/>
                <w:color w:val="000000"/>
                <w:lang w:val="uk-UA" w:eastAsia="ru-RU"/>
              </w:rPr>
            </w:pPr>
            <w:r>
              <w:rPr>
                <w:rFonts w:eastAsia="Times New Roman"/>
                <w:b/>
                <w:bCs/>
                <w:color w:val="000000"/>
                <w:lang w:val="uk-UA" w:eastAsia="ru-RU"/>
              </w:rPr>
              <w:t>Фактично досягнуто</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false"/>
              <w:jc w:val="center"/>
              <w:rPr>
                <w:rFonts w:eastAsia="Times New Roman"/>
                <w:b/>
                <w:b/>
                <w:bCs/>
                <w:color w:val="000000"/>
                <w:lang w:val="uk-UA" w:eastAsia="ru-RU"/>
              </w:rPr>
            </w:pPr>
            <w:r>
              <w:rPr>
                <w:rFonts w:eastAsia="Times New Roman"/>
                <w:b/>
                <w:bCs/>
                <w:color w:val="000000"/>
                <w:lang w:val="uk-UA" w:eastAsia="ru-RU"/>
              </w:rPr>
              <w:t>Відхилення</w:t>
            </w:r>
          </w:p>
        </w:tc>
      </w:tr>
      <w:tr>
        <w:trPr>
          <w:trHeight w:val="626" w:hRule="atLeast"/>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1. Супроводження  електронних поштових скриньок в домені gov.ua</w:t>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Бюджетні витрати</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626"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lang w:val="uk-UA"/>
              </w:rPr>
            </w:pPr>
            <w:r>
              <w:rPr>
                <w:lang w:val="uk-UA"/>
              </w:rPr>
              <w:t>Кількість працівників необхідних для супроводження скриньок</w:t>
            </w:r>
          </w:p>
        </w:tc>
        <w:tc>
          <w:tcPr>
            <w:tcW w:w="993"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lang w:val="uk-UA"/>
              </w:rPr>
            </w:pPr>
            <w:r>
              <w:rPr>
                <w:lang w:val="uk-UA"/>
              </w:rPr>
              <w:t>Осіб</w:t>
            </w:r>
          </w:p>
        </w:tc>
        <w:tc>
          <w:tcPr>
            <w:tcW w:w="1559"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lang w:val="uk-UA"/>
              </w:rPr>
            </w:pPr>
            <w:r>
              <w:rPr>
                <w:lang w:val="uk-UA"/>
              </w:rPr>
              <w:t>1</w:t>
            </w:r>
          </w:p>
        </w:tc>
        <w:tc>
          <w:tcPr>
            <w:tcW w:w="1560"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lang w:val="uk-UA"/>
              </w:rPr>
            </w:pPr>
            <w:r>
              <w:rPr>
                <w:lang w:val="uk-UA"/>
              </w:rPr>
              <w:t>1</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8"/>
              <w:spacing w:before="0" w:after="0"/>
              <w:jc w:val="center"/>
              <w:rPr>
                <w:lang w:val="uk-UA"/>
              </w:rPr>
            </w:pPr>
            <w:r>
              <w:rPr>
                <w:lang w:val="uk-UA"/>
              </w:rPr>
              <w:t>0</w:t>
            </w:r>
          </w:p>
        </w:tc>
      </w:tr>
      <w:tr>
        <w:trPr>
          <w:trHeight w:val="532"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продукту</w:t>
            </w:r>
          </w:p>
          <w:p>
            <w:pPr>
              <w:pStyle w:val="Style28"/>
              <w:spacing w:before="0" w:after="0"/>
              <w:rPr>
                <w:lang w:val="uk-UA"/>
              </w:rPr>
            </w:pPr>
            <w:r>
              <w:rPr>
                <w:lang w:val="uk-UA"/>
              </w:rPr>
              <w:t>Кількість скриньок, яких потрібно супроводжувати</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105</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105</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532"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lang w:val="uk-UA"/>
              </w:rPr>
            </w:pPr>
            <w:r>
              <w:rPr>
                <w:lang w:val="uk-UA"/>
              </w:rPr>
              <w:t>Відсоток працівників, які мають доступ до послуг електронної пошти</w:t>
            </w:r>
          </w:p>
        </w:tc>
        <w:tc>
          <w:tcPr>
            <w:tcW w:w="993"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Style28"/>
              <w:spacing w:before="0" w:after="0"/>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8"/>
              <w:spacing w:before="0" w:after="0"/>
              <w:jc w:val="center"/>
              <w:rPr>
                <w:lang w:val="uk-UA"/>
              </w:rPr>
            </w:pPr>
            <w:r>
              <w:rPr>
                <w:lang w:val="uk-UA"/>
              </w:rPr>
              <w:t>0</w:t>
            </w:r>
          </w:p>
        </w:tc>
      </w:tr>
      <w:tr>
        <w:trPr>
          <w:trHeight w:val="532"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vAlign w:val="center"/>
          </w:tcPr>
          <w:p>
            <w:pPr>
              <w:pStyle w:val="Style28"/>
              <w:spacing w:before="0" w:after="0"/>
              <w:rPr>
                <w:b/>
                <w:b/>
                <w:lang w:val="uk-UA"/>
              </w:rPr>
            </w:pPr>
            <w:r>
              <w:rPr>
                <w:b/>
                <w:lang w:val="uk-UA"/>
              </w:rPr>
              <w:t>Показник ефективності</w:t>
            </w:r>
          </w:p>
          <w:p>
            <w:pPr>
              <w:pStyle w:val="Style28"/>
              <w:spacing w:before="0" w:after="0"/>
              <w:rPr>
                <w:lang w:val="uk-UA"/>
              </w:rPr>
            </w:pPr>
            <w:r>
              <w:rPr>
                <w:lang w:val="uk-UA"/>
              </w:rPr>
              <w:t>Відсоток працівників, які мають доступ до послуг електронної пошти</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695"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якості</w:t>
            </w:r>
          </w:p>
          <w:p>
            <w:pPr>
              <w:pStyle w:val="Style28"/>
              <w:spacing w:before="0" w:after="0"/>
              <w:rPr>
                <w:lang w:val="uk-UA"/>
              </w:rPr>
            </w:pPr>
            <w:r>
              <w:rPr>
                <w:lang w:val="uk-UA"/>
              </w:rPr>
              <w:t>Виконання вимог законодавства щодо використання електронної пошти в органах місцевого самоврядування</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593"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lang w:val="uk-UA"/>
              </w:rPr>
            </w:pPr>
            <w:r>
              <w:rPr>
                <w:lang w:val="uk-UA"/>
              </w:rPr>
              <w:t>Відсоток користувачів, які використовують поштові скриньки в домені gov.ua</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1185" w:hRule="atLeast"/>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2. Заміна АТС</w:t>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Бюджетні кошти, необхідні для придбання, монтажу, налагодженню системи, навчанню роботі з нею</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Тис. 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326,558</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- 326,558</w:t>
            </w:r>
          </w:p>
        </w:tc>
      </w:tr>
      <w:tr>
        <w:trPr>
          <w:trHeight w:val="278"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продукту (для існуючої АТС)</w:t>
            </w:r>
          </w:p>
          <w:p>
            <w:pPr>
              <w:pStyle w:val="Style28"/>
              <w:spacing w:before="0" w:after="0"/>
              <w:rPr>
                <w:lang w:val="uk-UA"/>
              </w:rPr>
            </w:pPr>
            <w:r>
              <w:rPr>
                <w:lang w:val="uk-UA"/>
              </w:rPr>
              <w:t>Максимальна кількість внутрішніх аналогових номерів АТС</w:t>
            </w:r>
          </w:p>
          <w:p>
            <w:pPr>
              <w:pStyle w:val="Style28"/>
              <w:spacing w:before="0" w:after="0"/>
              <w:rPr>
                <w:lang w:val="uk-UA"/>
              </w:rPr>
            </w:pPr>
            <w:r>
              <w:rPr>
                <w:lang w:val="uk-UA"/>
              </w:rPr>
              <w:t>Максимальна кількість внутрішніх цифрових  номерів АТС</w:t>
            </w:r>
          </w:p>
          <w:p>
            <w:pPr>
              <w:pStyle w:val="Style28"/>
              <w:spacing w:before="0" w:after="0"/>
              <w:rPr>
                <w:lang w:val="uk-UA"/>
              </w:rPr>
            </w:pPr>
            <w:r>
              <w:rPr>
                <w:lang w:val="uk-UA"/>
              </w:rPr>
              <w:t>Максимальна кількість зовнішніх номерів АТС</w:t>
            </w:r>
          </w:p>
        </w:tc>
        <w:tc>
          <w:tcPr>
            <w:tcW w:w="993"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шт.</w:t>
            </w:r>
          </w:p>
          <w:p>
            <w:pPr>
              <w:pStyle w:val="Normal"/>
              <w:jc w:val="center"/>
              <w:rPr>
                <w:lang w:val="uk-UA"/>
              </w:rPr>
            </w:pPr>
            <w:r>
              <w:rPr>
                <w:lang w:val="uk-UA"/>
              </w:rPr>
              <w:t>шт.</w:t>
            </w:r>
          </w:p>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color w:val="FF0000"/>
                <w:lang w:val="uk-UA"/>
              </w:rPr>
            </w:pPr>
            <w:r>
              <w:rPr>
                <w:color w:val="FF0000"/>
                <w:lang w:val="uk-UA"/>
              </w:rPr>
            </w:r>
          </w:p>
          <w:p>
            <w:pPr>
              <w:pStyle w:val="Normal"/>
              <w:jc w:val="center"/>
              <w:rPr>
                <w:lang w:val="uk-UA"/>
              </w:rPr>
            </w:pPr>
            <w:r>
              <w:rPr>
                <w:lang w:val="uk-UA"/>
              </w:rPr>
              <w:t>192</w:t>
            </w:r>
          </w:p>
          <w:p>
            <w:pPr>
              <w:pStyle w:val="Normal"/>
              <w:jc w:val="center"/>
              <w:rPr>
                <w:lang w:val="uk-UA"/>
              </w:rPr>
            </w:pPr>
            <w:r>
              <w:rPr>
                <w:lang w:val="uk-UA"/>
              </w:rPr>
              <w:t>32</w:t>
            </w:r>
          </w:p>
          <w:p>
            <w:pPr>
              <w:pStyle w:val="Normal"/>
              <w:jc w:val="center"/>
              <w:rPr>
                <w:lang w:val="uk-UA"/>
              </w:rPr>
            </w:pPr>
            <w:r>
              <w:rPr>
                <w:lang w:val="uk-UA"/>
              </w:rPr>
              <w:t>96</w:t>
            </w:r>
          </w:p>
        </w:tc>
        <w:tc>
          <w:tcPr>
            <w:tcW w:w="156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color w:val="FF0000"/>
                <w:lang w:val="uk-UA"/>
              </w:rPr>
            </w:pPr>
            <w:r>
              <w:rPr>
                <w:color w:val="FF0000"/>
                <w:lang w:val="uk-UA"/>
              </w:rPr>
            </w:r>
          </w:p>
          <w:p>
            <w:pPr>
              <w:pStyle w:val="Normal"/>
              <w:jc w:val="center"/>
              <w:rPr>
                <w:lang w:val="uk-UA"/>
              </w:rPr>
            </w:pPr>
            <w:r>
              <w:rPr>
                <w:lang w:val="uk-UA"/>
              </w:rPr>
              <w:t>192</w:t>
            </w:r>
          </w:p>
          <w:p>
            <w:pPr>
              <w:pStyle w:val="Normal"/>
              <w:jc w:val="center"/>
              <w:rPr>
                <w:lang w:val="uk-UA"/>
              </w:rPr>
            </w:pPr>
            <w:r>
              <w:rPr>
                <w:lang w:val="uk-UA"/>
              </w:rPr>
              <w:t>32</w:t>
            </w:r>
          </w:p>
          <w:p>
            <w:pPr>
              <w:pStyle w:val="Normal"/>
              <w:jc w:val="center"/>
              <w:rPr>
                <w:lang w:val="uk-UA"/>
              </w:rPr>
            </w:pPr>
            <w:r>
              <w:rPr>
                <w:lang w:val="uk-UA"/>
              </w:rPr>
              <w:t>96</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0</w:t>
            </w:r>
          </w:p>
          <w:p>
            <w:pPr>
              <w:pStyle w:val="Normal"/>
              <w:jc w:val="center"/>
              <w:rPr>
                <w:lang w:val="uk-UA"/>
              </w:rPr>
            </w:pPr>
            <w:r>
              <w:rPr>
                <w:lang w:val="uk-UA"/>
              </w:rPr>
              <w:t>0</w:t>
            </w:r>
          </w:p>
          <w:p>
            <w:pPr>
              <w:pStyle w:val="Normal"/>
              <w:jc w:val="center"/>
              <w:rPr>
                <w:lang w:val="uk-UA"/>
              </w:rPr>
            </w:pPr>
            <w:r>
              <w:rPr>
                <w:lang w:val="uk-UA"/>
              </w:rPr>
              <w:t>0</w:t>
            </w:r>
          </w:p>
        </w:tc>
      </w:tr>
      <w:tr>
        <w:trPr>
          <w:trHeight w:val="552"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ефективності (для існуючої АТС)</w:t>
            </w:r>
          </w:p>
          <w:p>
            <w:pPr>
              <w:pStyle w:val="Style28"/>
              <w:spacing w:before="0" w:after="0"/>
              <w:rPr>
                <w:lang w:val="uk-UA"/>
              </w:rPr>
            </w:pPr>
            <w:r>
              <w:rPr>
                <w:lang w:val="uk-UA"/>
              </w:rPr>
              <w:t>Відсоток працівників, які зможуть користатися послугами АТС</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якості (для існуючої АТС)</w:t>
            </w:r>
          </w:p>
          <w:p>
            <w:pPr>
              <w:pStyle w:val="Style28"/>
              <w:spacing w:before="0" w:after="0"/>
              <w:rPr>
                <w:lang w:val="uk-UA"/>
              </w:rPr>
            </w:pPr>
            <w:r>
              <w:rPr>
                <w:lang w:val="uk-UA"/>
              </w:rPr>
              <w:t>Функціональність та надійність послуг АТС</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3. Супроводження  системи голосування, відеосупроводу та он-лайн трансляцій сесій міської ради</w:t>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Бюджетні кошти, необхідні для супроводження систем</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Тис. 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56,000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49,780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- 6,220</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продукту</w:t>
            </w:r>
          </w:p>
          <w:p>
            <w:pPr>
              <w:pStyle w:val="Style28"/>
              <w:spacing w:before="0" w:after="0"/>
              <w:rPr>
                <w:lang w:val="uk-UA"/>
              </w:rPr>
            </w:pPr>
            <w:r>
              <w:rPr>
                <w:lang w:val="uk-UA"/>
              </w:rPr>
              <w:t>Прогнозована кількість сесій на рік</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24</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18</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- 6</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ефективності</w:t>
            </w:r>
          </w:p>
          <w:p>
            <w:pPr>
              <w:pStyle w:val="Style28"/>
              <w:spacing w:before="0" w:after="0"/>
              <w:rPr>
                <w:lang w:val="uk-UA"/>
              </w:rPr>
            </w:pPr>
            <w:r>
              <w:rPr>
                <w:lang w:val="uk-UA"/>
              </w:rPr>
              <w:t>Автоматизація процесів ведення та документування сесій міської ради</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якості</w:t>
            </w:r>
          </w:p>
          <w:p>
            <w:pPr>
              <w:pStyle w:val="Style28"/>
              <w:spacing w:before="0" w:after="0"/>
              <w:rPr>
                <w:lang w:val="uk-UA"/>
              </w:rPr>
            </w:pPr>
            <w:r>
              <w:rPr>
                <w:lang w:val="uk-UA"/>
              </w:rPr>
              <w:t>Забезпечення прозорості прийняття рішень</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4. Технічне супроводження діяльності відділу адміністративних послуг</w:t>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Бюджетні кошти, необхідні для супроводження</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Тис. 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1 023,277</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136,135</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- 887,142</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продукту</w:t>
            </w:r>
          </w:p>
          <w:p>
            <w:pPr>
              <w:pStyle w:val="Style28"/>
              <w:spacing w:before="0" w:after="0"/>
              <w:rPr>
                <w:lang w:val="uk-UA"/>
              </w:rPr>
            </w:pPr>
            <w:r>
              <w:rPr>
                <w:lang w:val="uk-UA"/>
              </w:rPr>
              <w:t xml:space="preserve">Планована кількість відвідувачів на рік </w:t>
            </w:r>
          </w:p>
          <w:p>
            <w:pPr>
              <w:pStyle w:val="Style28"/>
              <w:spacing w:before="0" w:after="0"/>
              <w:rPr>
                <w:lang w:val="uk-UA"/>
              </w:rPr>
            </w:pPr>
            <w:r>
              <w:rPr>
                <w:lang w:val="uk-UA"/>
              </w:rPr>
              <w:t>Планована кількість відвідувачів, які звернуться до ЄДДР</w:t>
            </w:r>
          </w:p>
          <w:p>
            <w:pPr>
              <w:pStyle w:val="Style28"/>
              <w:spacing w:before="0" w:after="0"/>
              <w:rPr>
                <w:lang w:val="uk-UA"/>
              </w:rPr>
            </w:pPr>
            <w:r>
              <w:rPr>
                <w:lang w:val="uk-UA"/>
              </w:rPr>
              <w:t>Кількість робочих місць</w:t>
            </w:r>
          </w:p>
        </w:tc>
        <w:tc>
          <w:tcPr>
            <w:tcW w:w="993" w:type="dxa"/>
            <w:tcBorders>
              <w:top w:val="single" w:sz="4" w:space="0" w:color="000000"/>
              <w:left w:val="single" w:sz="4" w:space="0" w:color="000000"/>
              <w:bottom w:val="single" w:sz="4" w:space="0" w:color="000000"/>
            </w:tcBorders>
            <w:shd w:fill="auto" w:val="clear"/>
          </w:tcPr>
          <w:p>
            <w:pPr>
              <w:pStyle w:val="Normal"/>
              <w:snapToGrid w:val="false"/>
              <w:jc w:val="center"/>
              <w:rPr>
                <w:lang w:val="uk-UA"/>
              </w:rPr>
            </w:pPr>
            <w:r>
              <w:rPr>
                <w:lang w:val="uk-UA"/>
              </w:rPr>
            </w:r>
          </w:p>
          <w:p>
            <w:pPr>
              <w:pStyle w:val="Normal"/>
              <w:jc w:val="center"/>
              <w:rPr>
                <w:lang w:val="uk-UA"/>
              </w:rPr>
            </w:pPr>
            <w:r>
              <w:rPr>
                <w:lang w:val="uk-UA"/>
              </w:rPr>
              <w:t>Осіб</w:t>
            </w:r>
          </w:p>
          <w:p>
            <w:pPr>
              <w:pStyle w:val="Normal"/>
              <w:jc w:val="center"/>
              <w:rPr>
                <w:lang w:val="uk-UA"/>
              </w:rPr>
            </w:pPr>
            <w:r>
              <w:rPr>
                <w:lang w:val="uk-UA"/>
              </w:rPr>
              <w:t>Осіб</w:t>
            </w:r>
          </w:p>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tcPr>
          <w:p>
            <w:pPr>
              <w:pStyle w:val="Normal"/>
              <w:snapToGrid w:val="false"/>
              <w:jc w:val="center"/>
              <w:rPr>
                <w:lang w:val="uk-UA"/>
              </w:rPr>
            </w:pPr>
            <w:r>
              <w:rPr>
                <w:lang w:val="uk-UA"/>
              </w:rPr>
            </w:r>
          </w:p>
          <w:p>
            <w:pPr>
              <w:pStyle w:val="Normal"/>
              <w:jc w:val="center"/>
              <w:rPr>
                <w:lang w:val="uk-UA"/>
              </w:rPr>
            </w:pPr>
            <w:r>
              <w:rPr>
                <w:lang w:val="uk-UA"/>
              </w:rPr>
              <w:t>130 000</w:t>
            </w:r>
          </w:p>
          <w:p>
            <w:pPr>
              <w:pStyle w:val="Normal"/>
              <w:jc w:val="center"/>
              <w:rPr>
                <w:lang w:val="uk-UA"/>
              </w:rPr>
            </w:pPr>
            <w:r>
              <w:rPr>
                <w:lang w:val="uk-UA"/>
              </w:rPr>
              <w:t>0</w:t>
            </w:r>
          </w:p>
          <w:p>
            <w:pPr>
              <w:pStyle w:val="Normal"/>
              <w:jc w:val="center"/>
              <w:rPr>
                <w:lang w:val="uk-UA"/>
              </w:rPr>
            </w:pPr>
            <w:r>
              <w:rPr>
                <w:lang w:val="uk-UA"/>
              </w:rPr>
              <w:t>30</w:t>
            </w:r>
          </w:p>
        </w:tc>
        <w:tc>
          <w:tcPr>
            <w:tcW w:w="1560" w:type="dxa"/>
            <w:tcBorders>
              <w:top w:val="single" w:sz="4" w:space="0" w:color="000000"/>
              <w:left w:val="single" w:sz="4" w:space="0" w:color="000000"/>
              <w:bottom w:val="single" w:sz="4" w:space="0" w:color="000000"/>
            </w:tcBorders>
            <w:shd w:fill="auto" w:val="clear"/>
          </w:tcPr>
          <w:p>
            <w:pPr>
              <w:pStyle w:val="Normal"/>
              <w:snapToGrid w:val="false"/>
              <w:jc w:val="center"/>
              <w:rPr>
                <w:lang w:val="uk-UA"/>
              </w:rPr>
            </w:pPr>
            <w:r>
              <w:rPr>
                <w:lang w:val="uk-UA"/>
              </w:rPr>
            </w:r>
          </w:p>
          <w:p>
            <w:pPr>
              <w:pStyle w:val="Normal"/>
              <w:jc w:val="center"/>
              <w:rPr>
                <w:lang w:val="uk-UA"/>
              </w:rPr>
            </w:pPr>
            <w:r>
              <w:rPr>
                <w:lang w:val="uk-UA"/>
              </w:rPr>
              <w:t>150 000</w:t>
            </w:r>
          </w:p>
          <w:p>
            <w:pPr>
              <w:pStyle w:val="Normal"/>
              <w:jc w:val="center"/>
              <w:rPr>
                <w:lang w:val="uk-UA"/>
              </w:rPr>
            </w:pPr>
            <w:r>
              <w:rPr>
                <w:lang w:val="uk-UA"/>
              </w:rPr>
              <w:t>0</w:t>
            </w:r>
          </w:p>
          <w:p>
            <w:pPr>
              <w:pStyle w:val="Normal"/>
              <w:jc w:val="center"/>
              <w:rPr>
                <w:lang w:val="uk-UA"/>
              </w:rPr>
            </w:pPr>
            <w:r>
              <w:rPr>
                <w:lang w:val="uk-UA"/>
              </w:rPr>
              <w:t>30</w:t>
            </w:r>
          </w:p>
        </w:tc>
        <w:tc>
          <w:tcPr>
            <w:tcW w:w="15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lang w:val="uk-UA"/>
              </w:rPr>
            </w:pPr>
            <w:r>
              <w:rPr>
                <w:lang w:val="uk-UA"/>
              </w:rPr>
            </w:r>
          </w:p>
          <w:p>
            <w:pPr>
              <w:pStyle w:val="Normal"/>
              <w:jc w:val="center"/>
              <w:rPr>
                <w:lang w:val="uk-UA"/>
              </w:rPr>
            </w:pPr>
            <w:r>
              <w:rPr>
                <w:lang w:val="uk-UA"/>
              </w:rPr>
              <w:t>20 000</w:t>
            </w:r>
          </w:p>
          <w:p>
            <w:pPr>
              <w:pStyle w:val="Normal"/>
              <w:jc w:val="center"/>
              <w:rPr>
                <w:lang w:val="uk-UA"/>
              </w:rPr>
            </w:pPr>
            <w:r>
              <w:rPr>
                <w:lang w:val="uk-UA"/>
              </w:rPr>
              <w:t>0</w:t>
            </w:r>
          </w:p>
          <w:p>
            <w:pPr>
              <w:pStyle w:val="Normal"/>
              <w:jc w:val="center"/>
              <w:rPr>
                <w:lang w:val="uk-UA"/>
              </w:rPr>
            </w:pPr>
            <w:r>
              <w:rPr>
                <w:lang w:val="uk-UA"/>
              </w:rPr>
              <w:t>0</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ефективності</w:t>
            </w:r>
          </w:p>
          <w:p>
            <w:pPr>
              <w:pStyle w:val="Style28"/>
              <w:spacing w:before="0" w:after="0"/>
              <w:rPr>
                <w:lang w:val="uk-UA"/>
              </w:rPr>
            </w:pPr>
            <w:r>
              <w:rPr>
                <w:lang w:val="uk-UA"/>
              </w:rPr>
              <w:t xml:space="preserve">Забезпечення працездатності  комп'ютерної, периферійної та іншої техніки відділу  </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якості</w:t>
            </w:r>
          </w:p>
          <w:p>
            <w:pPr>
              <w:pStyle w:val="Style28"/>
              <w:spacing w:before="0" w:after="0"/>
              <w:rPr>
                <w:lang w:val="uk-UA"/>
              </w:rPr>
            </w:pPr>
            <w:r>
              <w:rPr>
                <w:lang w:val="uk-UA"/>
              </w:rPr>
              <w:t>Виконання вимог законодавства щодо надання адміністративних послуг</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5. Модернізувати та обслужити інформаційну інфраструктуру</w:t>
              <w:br/>
              <w:t>міської ради</w:t>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Бюджетні кошти, заплановані на модернізацію інформаційної інфраструктур</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Тис. 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color w:val="FF0000"/>
                <w:lang w:val="uk-UA"/>
              </w:rPr>
            </w:pPr>
            <w:r>
              <w:rPr>
                <w:color w:val="FF0000"/>
                <w:lang w:val="uk-UA"/>
              </w:rPr>
            </w:r>
          </w:p>
          <w:p>
            <w:pPr>
              <w:pStyle w:val="Normal"/>
              <w:jc w:val="center"/>
              <w:rPr>
                <w:lang w:val="uk-UA"/>
              </w:rPr>
            </w:pPr>
            <w:r>
              <w:rPr>
                <w:lang w:val="uk-UA"/>
              </w:rPr>
              <w:t>1 571,711</w:t>
            </w:r>
          </w:p>
          <w:p>
            <w:pPr>
              <w:pStyle w:val="Normal"/>
              <w:jc w:val="center"/>
              <w:rPr>
                <w:color w:val="FF0000"/>
                <w:lang w:val="uk-UA"/>
              </w:rPr>
            </w:pPr>
            <w:r>
              <w:rPr>
                <w:color w:val="FF0000"/>
                <w:lang w:val="uk-UA"/>
              </w:rPr>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1 972,962</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401,251</w:t>
            </w:r>
          </w:p>
        </w:tc>
      </w:tr>
      <w:tr>
        <w:trPr>
          <w:trHeight w:val="583"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продукту</w:t>
            </w:r>
          </w:p>
          <w:p>
            <w:pPr>
              <w:pStyle w:val="Style28"/>
              <w:spacing w:before="0" w:after="0"/>
              <w:rPr>
                <w:lang w:val="uk-UA"/>
              </w:rPr>
            </w:pPr>
            <w:r>
              <w:rPr>
                <w:lang w:val="uk-UA"/>
              </w:rPr>
              <w:t>Кількість персональних комп'ютерів</w:t>
            </w:r>
          </w:p>
          <w:p>
            <w:pPr>
              <w:pStyle w:val="Style28"/>
              <w:spacing w:before="0" w:after="0"/>
              <w:rPr>
                <w:lang w:val="uk-UA"/>
              </w:rPr>
            </w:pPr>
            <w:r>
              <w:rPr>
                <w:lang w:val="uk-UA"/>
              </w:rPr>
              <w:t>Кількість серверів</w:t>
            </w:r>
          </w:p>
          <w:p>
            <w:pPr>
              <w:pStyle w:val="Style28"/>
              <w:spacing w:before="0" w:after="0"/>
              <w:rPr>
                <w:lang w:val="uk-UA"/>
              </w:rPr>
            </w:pPr>
            <w:r>
              <w:rPr>
                <w:lang w:val="uk-UA"/>
              </w:rPr>
              <w:t>Кількість принтерів, БФП, копіювальних апаратів</w:t>
            </w:r>
          </w:p>
        </w:tc>
        <w:tc>
          <w:tcPr>
            <w:tcW w:w="993"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шт.</w:t>
            </w:r>
          </w:p>
          <w:p>
            <w:pPr>
              <w:pStyle w:val="Normal"/>
              <w:jc w:val="center"/>
              <w:rPr>
                <w:lang w:val="uk-UA"/>
              </w:rPr>
            </w:pPr>
            <w:r>
              <w:rPr>
                <w:lang w:val="uk-UA"/>
              </w:rPr>
              <w:t>шт.</w:t>
            </w:r>
          </w:p>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163</w:t>
            </w:r>
          </w:p>
          <w:p>
            <w:pPr>
              <w:pStyle w:val="Normal"/>
              <w:jc w:val="center"/>
              <w:rPr>
                <w:lang w:val="uk-UA"/>
              </w:rPr>
            </w:pPr>
            <w:r>
              <w:rPr>
                <w:lang w:val="uk-UA"/>
              </w:rPr>
              <w:t>8</w:t>
            </w:r>
          </w:p>
          <w:p>
            <w:pPr>
              <w:pStyle w:val="Normal"/>
              <w:jc w:val="center"/>
              <w:rPr>
                <w:lang w:val="uk-UA"/>
              </w:rPr>
            </w:pPr>
            <w:r>
              <w:rPr>
                <w:lang w:val="uk-UA"/>
              </w:rPr>
              <w:t>140</w:t>
            </w:r>
          </w:p>
        </w:tc>
        <w:tc>
          <w:tcPr>
            <w:tcW w:w="156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168</w:t>
            </w:r>
          </w:p>
          <w:p>
            <w:pPr>
              <w:pStyle w:val="Normal"/>
              <w:jc w:val="center"/>
              <w:rPr>
                <w:lang w:val="uk-UA"/>
              </w:rPr>
            </w:pPr>
            <w:r>
              <w:rPr>
                <w:lang w:val="uk-UA"/>
              </w:rPr>
              <w:t>10</w:t>
            </w:r>
          </w:p>
          <w:p>
            <w:pPr>
              <w:pStyle w:val="Normal"/>
              <w:jc w:val="center"/>
              <w:rPr>
                <w:lang w:val="uk-UA"/>
              </w:rPr>
            </w:pPr>
            <w:r>
              <w:rPr>
                <w:lang w:val="uk-UA"/>
              </w:rPr>
              <w:t>147</w:t>
            </w:r>
          </w:p>
          <w:p>
            <w:pPr>
              <w:pStyle w:val="Normal"/>
              <w:jc w:val="center"/>
              <w:rPr>
                <w:lang w:val="uk-UA"/>
              </w:rPr>
            </w:pPr>
            <w:r>
              <w:rPr>
                <w:lang w:val="uk-UA"/>
              </w:rPr>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5</w:t>
            </w:r>
          </w:p>
          <w:p>
            <w:pPr>
              <w:pStyle w:val="Normal"/>
              <w:jc w:val="center"/>
              <w:rPr>
                <w:lang w:val="uk-UA"/>
              </w:rPr>
            </w:pPr>
            <w:r>
              <w:rPr>
                <w:lang w:val="uk-UA"/>
              </w:rPr>
              <w:t>2</w:t>
            </w:r>
          </w:p>
          <w:p>
            <w:pPr>
              <w:pStyle w:val="Normal"/>
              <w:jc w:val="center"/>
              <w:rPr>
                <w:lang w:val="uk-UA"/>
              </w:rPr>
            </w:pPr>
            <w:r>
              <w:rPr>
                <w:lang w:val="uk-UA"/>
              </w:rPr>
              <w:t>7</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ефективності</w:t>
            </w:r>
          </w:p>
          <w:p>
            <w:pPr>
              <w:pStyle w:val="Style28"/>
              <w:spacing w:before="0" w:after="0"/>
              <w:rPr>
                <w:lang w:val="uk-UA"/>
              </w:rPr>
            </w:pPr>
            <w:r>
              <w:rPr>
                <w:lang w:val="uk-UA"/>
              </w:rPr>
              <w:t>Кількість придбаних персональних комп'ютерів</w:t>
            </w:r>
          </w:p>
          <w:p>
            <w:pPr>
              <w:pStyle w:val="Style28"/>
              <w:spacing w:before="0" w:after="0"/>
              <w:rPr>
                <w:lang w:val="uk-UA"/>
              </w:rPr>
            </w:pPr>
            <w:r>
              <w:rPr>
                <w:lang w:val="uk-UA"/>
              </w:rPr>
              <w:t>Кількість придбаних серверів</w:t>
            </w:r>
          </w:p>
          <w:p>
            <w:pPr>
              <w:pStyle w:val="Style28"/>
              <w:spacing w:before="0" w:after="0"/>
              <w:rPr>
                <w:lang w:val="uk-UA"/>
              </w:rPr>
            </w:pPr>
            <w:r>
              <w:rPr>
                <w:lang w:val="uk-UA"/>
              </w:rPr>
              <w:t>Кількість придбаних принтерів, БФП, копіювальних апаратів</w:t>
            </w:r>
          </w:p>
        </w:tc>
        <w:tc>
          <w:tcPr>
            <w:tcW w:w="993"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шт.</w:t>
            </w:r>
          </w:p>
          <w:p>
            <w:pPr>
              <w:pStyle w:val="Normal"/>
              <w:jc w:val="center"/>
              <w:rPr>
                <w:lang w:val="uk-UA"/>
              </w:rPr>
            </w:pPr>
            <w:r>
              <w:rPr>
                <w:lang w:val="uk-UA"/>
              </w:rPr>
              <w:t>шт.</w:t>
            </w:r>
          </w:p>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10</w:t>
            </w:r>
          </w:p>
          <w:p>
            <w:pPr>
              <w:pStyle w:val="Normal"/>
              <w:jc w:val="center"/>
              <w:rPr>
                <w:lang w:val="uk-UA"/>
              </w:rPr>
            </w:pPr>
            <w:r>
              <w:rPr>
                <w:lang w:val="uk-UA"/>
              </w:rPr>
              <w:t>1</w:t>
            </w:r>
          </w:p>
          <w:p>
            <w:pPr>
              <w:pStyle w:val="Normal"/>
              <w:jc w:val="center"/>
              <w:rPr>
                <w:lang w:val="uk-UA"/>
              </w:rPr>
            </w:pPr>
            <w:r>
              <w:rPr>
                <w:lang w:val="uk-UA"/>
              </w:rPr>
              <w:t>1</w:t>
            </w:r>
          </w:p>
        </w:tc>
        <w:tc>
          <w:tcPr>
            <w:tcW w:w="156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15</w:t>
            </w:r>
          </w:p>
          <w:p>
            <w:pPr>
              <w:pStyle w:val="Normal"/>
              <w:jc w:val="center"/>
              <w:rPr>
                <w:lang w:val="uk-UA"/>
              </w:rPr>
            </w:pPr>
            <w:r>
              <w:rPr>
                <w:lang w:val="uk-UA"/>
              </w:rPr>
              <w:t>2</w:t>
            </w:r>
          </w:p>
          <w:p>
            <w:pPr>
              <w:pStyle w:val="Normal"/>
              <w:jc w:val="center"/>
              <w:rPr>
                <w:lang w:val="uk-UA"/>
              </w:rPr>
            </w:pPr>
            <w:r>
              <w:rPr>
                <w:lang w:val="uk-UA"/>
              </w:rPr>
              <w:t>8</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5</w:t>
            </w:r>
          </w:p>
          <w:p>
            <w:pPr>
              <w:pStyle w:val="Normal"/>
              <w:jc w:val="center"/>
              <w:rPr>
                <w:lang w:val="uk-UA"/>
              </w:rPr>
            </w:pPr>
            <w:r>
              <w:rPr>
                <w:lang w:val="uk-UA"/>
              </w:rPr>
              <w:t>2</w:t>
            </w:r>
          </w:p>
          <w:p>
            <w:pPr>
              <w:pStyle w:val="Normal"/>
              <w:jc w:val="center"/>
              <w:rPr>
                <w:lang w:val="uk-UA"/>
              </w:rPr>
            </w:pPr>
            <w:r>
              <w:rPr>
                <w:lang w:val="uk-UA"/>
              </w:rPr>
              <w:t>7</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якості</w:t>
            </w:r>
          </w:p>
          <w:p>
            <w:pPr>
              <w:pStyle w:val="Style28"/>
              <w:spacing w:before="0" w:after="0"/>
              <w:rPr>
                <w:lang w:val="uk-UA"/>
              </w:rPr>
            </w:pPr>
            <w:r>
              <w:rPr>
                <w:lang w:val="uk-UA"/>
              </w:rPr>
              <w:t>Відсоток морально застарілих ПК до загальної кількості ПК (більше 5 років)</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60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56</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-4</w:t>
            </w:r>
          </w:p>
        </w:tc>
      </w:tr>
      <w:tr>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rPr>
                <w:lang w:val="uk-UA"/>
              </w:rPr>
            </w:pPr>
            <w:r>
              <w:rPr>
                <w:lang w:val="uk-UA"/>
              </w:rPr>
              <w:t>6. Захистити інформацію у режимно-секретному органі Сєвєродонецької міської ради</w:t>
            </w:r>
          </w:p>
        </w:tc>
        <w:tc>
          <w:tcPr>
            <w:tcW w:w="7239" w:type="dxa"/>
            <w:tcBorders>
              <w:top w:val="single" w:sz="4" w:space="0" w:color="000000"/>
              <w:left w:val="single" w:sz="4" w:space="0" w:color="000000"/>
              <w:bottom w:val="single" w:sz="4" w:space="0" w:color="000000"/>
            </w:tcBorders>
            <w:shd w:fill="auto" w:val="clear"/>
            <w:vAlign w:val="cente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Обсяг запланованих бюджетних коштів</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Тис. 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vAlign w:val="center"/>
          </w:tcPr>
          <w:p>
            <w:pPr>
              <w:pStyle w:val="Style28"/>
              <w:spacing w:before="0" w:after="0"/>
              <w:rPr>
                <w:b/>
                <w:b/>
                <w:lang w:val="uk-UA"/>
              </w:rPr>
            </w:pPr>
            <w:r>
              <w:rPr>
                <w:b/>
                <w:lang w:val="uk-UA"/>
              </w:rPr>
              <w:t>Показник продукту</w:t>
            </w:r>
          </w:p>
          <w:p>
            <w:pPr>
              <w:pStyle w:val="Style28"/>
              <w:spacing w:before="0" w:after="0"/>
              <w:rPr>
                <w:lang w:val="uk-UA"/>
              </w:rPr>
            </w:pPr>
            <w:r>
              <w:rPr>
                <w:lang w:val="uk-UA"/>
              </w:rPr>
              <w:t>Кількість комп'ютерів, на яких використовується система захисту</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550"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vAlign w:val="center"/>
          </w:tcPr>
          <w:p>
            <w:pPr>
              <w:pStyle w:val="Style28"/>
              <w:spacing w:before="0" w:after="0"/>
              <w:rPr>
                <w:b/>
                <w:b/>
                <w:lang w:val="uk-UA"/>
              </w:rPr>
            </w:pPr>
            <w:r>
              <w:rPr>
                <w:b/>
                <w:lang w:val="uk-UA"/>
              </w:rPr>
              <w:t>Показник ефективності</w:t>
            </w:r>
          </w:p>
          <w:p>
            <w:pPr>
              <w:pStyle w:val="Style28"/>
              <w:spacing w:before="0" w:after="0"/>
              <w:rPr>
                <w:lang w:val="uk-UA"/>
              </w:rPr>
            </w:pPr>
            <w:r>
              <w:rPr>
                <w:lang w:val="uk-UA"/>
              </w:rPr>
              <w:t>Захист інформації (КСЗІ) в ІС  (АС класу "1") режимно-секретного органу (РСО)</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vAlign w:val="center"/>
          </w:tcPr>
          <w:p>
            <w:pPr>
              <w:pStyle w:val="Style28"/>
              <w:spacing w:before="0" w:after="0"/>
              <w:rPr>
                <w:b/>
                <w:b/>
                <w:lang w:val="uk-UA"/>
              </w:rPr>
            </w:pPr>
            <w:r>
              <w:rPr>
                <w:b/>
                <w:lang w:val="uk-UA"/>
              </w:rPr>
              <w:t>Показник якості</w:t>
            </w:r>
          </w:p>
          <w:p>
            <w:pPr>
              <w:pStyle w:val="Style28"/>
              <w:spacing w:before="0" w:after="0"/>
              <w:rPr>
                <w:lang w:val="uk-UA"/>
              </w:rPr>
            </w:pPr>
            <w:r>
              <w:rPr>
                <w:lang w:val="uk-UA"/>
              </w:rPr>
              <w:t>Виконання вимог законодавства щодо захисту інформації з обмеженим доступом</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494" w:hRule="atLeast"/>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jc w:val="center"/>
              <w:rPr/>
            </w:pPr>
            <w:r>
              <w:rPr>
                <w:lang w:val="uk-UA"/>
              </w:rPr>
              <w:t>7.</w:t>
            </w:r>
            <w:r>
              <w:rPr>
                <w:color w:val="FF0000"/>
                <w:lang w:val="uk-UA"/>
              </w:rPr>
              <w:t xml:space="preserve"> </w:t>
            </w:r>
            <w:r>
              <w:rPr>
                <w:lang w:val="uk-UA"/>
              </w:rPr>
              <w:t>Впровадити систему електронного документообігу в Сєвєродонецькій міській раді</w:t>
            </w:r>
            <w:r>
              <w:rPr>
                <w:color w:val="FF0000"/>
                <w:lang w:val="uk-UA"/>
              </w:rPr>
              <w:t xml:space="preserve"> </w:t>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Бюджетні витрати</w:t>
            </w:r>
          </w:p>
        </w:tc>
        <w:tc>
          <w:tcPr>
            <w:tcW w:w="993"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Тис. грн.</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741,235</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- 741,235</w:t>
            </w:r>
          </w:p>
        </w:tc>
      </w:tr>
      <w:tr>
        <w:trPr>
          <w:trHeight w:val="461"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продукту</w:t>
            </w:r>
          </w:p>
          <w:p>
            <w:pPr>
              <w:pStyle w:val="Style28"/>
              <w:spacing w:before="0" w:after="0"/>
              <w:rPr>
                <w:lang w:val="uk-UA"/>
              </w:rPr>
            </w:pPr>
            <w:r>
              <w:rPr>
                <w:lang w:val="uk-UA"/>
              </w:rPr>
              <w:t>Система електронного документообігу</w:t>
            </w:r>
          </w:p>
        </w:tc>
        <w:tc>
          <w:tcPr>
            <w:tcW w:w="993"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b/>
                <w:b/>
                <w:lang w:val="uk-UA"/>
              </w:rPr>
            </w:pPr>
            <w:r>
              <w:rPr>
                <w:b/>
                <w:lang w:val="uk-UA"/>
              </w:rPr>
            </w:r>
          </w:p>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w:t>
            </w:r>
          </w:p>
        </w:tc>
        <w:tc>
          <w:tcPr>
            <w:tcW w:w="156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w:t>
            </w:r>
          </w:p>
        </w:tc>
      </w:tr>
      <w:tr>
        <w:trPr>
          <w:trHeight w:val="720"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ефективності</w:t>
            </w:r>
          </w:p>
          <w:p>
            <w:pPr>
              <w:pStyle w:val="Style28"/>
              <w:spacing w:before="0" w:after="0"/>
              <w:rPr>
                <w:lang w:val="uk-UA"/>
              </w:rPr>
            </w:pPr>
            <w:r>
              <w:rPr>
                <w:lang w:val="uk-UA"/>
              </w:rPr>
              <w:t>Збільшення  продуктивність праці службовців (за статистикою)</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25</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-25</w:t>
            </w:r>
          </w:p>
        </w:tc>
      </w:tr>
      <w:tr>
        <w:trPr>
          <w:trHeight w:val="632"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якості</w:t>
            </w:r>
          </w:p>
          <w:p>
            <w:pPr>
              <w:pStyle w:val="Style28"/>
              <w:spacing w:before="0" w:after="0"/>
              <w:rPr>
                <w:lang w:val="uk-UA"/>
              </w:rPr>
            </w:pPr>
            <w:r>
              <w:rPr>
                <w:lang w:val="uk-UA"/>
              </w:rPr>
              <w:t>Охоплення повного циклу діловодства:  від створення документу до  архівації та централізованого збереження документів</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-100</w:t>
            </w:r>
          </w:p>
        </w:tc>
      </w:tr>
      <w:tr>
        <w:trPr>
          <w:trHeight w:val="494" w:hRule="atLeast"/>
        </w:trPr>
        <w:tc>
          <w:tcPr>
            <w:tcW w:w="2508"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0"/>
              <w:jc w:val="center"/>
              <w:rPr>
                <w:lang w:val="uk-UA"/>
              </w:rPr>
            </w:pPr>
            <w:r>
              <w:rPr>
                <w:lang w:val="uk-UA"/>
              </w:rPr>
              <w:t>8. Впровадити  надання адміністративних послуг з використанням ІКТ</w:t>
            </w:r>
          </w:p>
          <w:p>
            <w:pPr>
              <w:pStyle w:val="Normal"/>
              <w:jc w:val="center"/>
              <w:rPr>
                <w:lang w:val="uk-UA"/>
              </w:rPr>
            </w:pPr>
            <w:r>
              <w:rPr>
                <w:lang w:val="uk-UA"/>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витрат</w:t>
            </w:r>
          </w:p>
          <w:p>
            <w:pPr>
              <w:pStyle w:val="Style28"/>
              <w:spacing w:before="0" w:after="0"/>
              <w:rPr>
                <w:lang w:val="uk-UA"/>
              </w:rPr>
            </w:pPr>
            <w:r>
              <w:rPr>
                <w:lang w:val="uk-UA"/>
              </w:rPr>
              <w:t>Бюджетні витрати</w:t>
            </w:r>
          </w:p>
          <w:p>
            <w:pPr>
              <w:pStyle w:val="Style28"/>
              <w:spacing w:before="0" w:after="0"/>
              <w:rPr>
                <w:lang w:val="uk-UA"/>
              </w:rPr>
            </w:pPr>
            <w:r>
              <w:rPr>
                <w:lang w:val="uk-UA"/>
              </w:rPr>
              <w:t>Кількість адміністративних послуг</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Тис. грн.</w:t>
            </w:r>
          </w:p>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0</w:t>
            </w:r>
          </w:p>
          <w:p>
            <w:pPr>
              <w:pStyle w:val="Normal"/>
              <w:jc w:val="center"/>
              <w:rPr>
                <w:lang w:val="uk-UA"/>
              </w:rPr>
            </w:pPr>
            <w:r>
              <w:rPr>
                <w:lang w:val="uk-UA"/>
              </w:rPr>
              <w:t>146</w:t>
            </w:r>
          </w:p>
        </w:tc>
        <w:tc>
          <w:tcPr>
            <w:tcW w:w="156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0</w:t>
            </w:r>
          </w:p>
          <w:p>
            <w:pPr>
              <w:pStyle w:val="Normal"/>
              <w:jc w:val="center"/>
              <w:rPr>
                <w:lang w:val="uk-UA"/>
              </w:rPr>
            </w:pPr>
            <w:r>
              <w:rPr>
                <w:lang w:val="uk-UA"/>
              </w:rPr>
              <w:t>146</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0</w:t>
            </w:r>
          </w:p>
          <w:p>
            <w:pPr>
              <w:pStyle w:val="Normal"/>
              <w:jc w:val="center"/>
              <w:rPr>
                <w:lang w:val="uk-UA"/>
              </w:rPr>
            </w:pPr>
            <w:r>
              <w:rPr>
                <w:lang w:val="uk-UA"/>
              </w:rPr>
              <w:t>0</w:t>
            </w:r>
          </w:p>
        </w:tc>
      </w:tr>
      <w:tr>
        <w:trPr>
          <w:trHeight w:val="461"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продукту</w:t>
            </w:r>
          </w:p>
          <w:p>
            <w:pPr>
              <w:pStyle w:val="Style28"/>
              <w:spacing w:before="0" w:after="0"/>
              <w:rPr>
                <w:lang w:val="uk-UA"/>
              </w:rPr>
            </w:pPr>
            <w:r>
              <w:rPr>
                <w:lang w:val="uk-UA"/>
              </w:rPr>
              <w:t>Кількість впроваджених адміністративних послуг в електронному вигляді</w:t>
            </w:r>
          </w:p>
        </w:tc>
        <w:tc>
          <w:tcPr>
            <w:tcW w:w="993"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b/>
                <w:b/>
                <w:lang w:val="uk-UA"/>
              </w:rPr>
            </w:pPr>
            <w:r>
              <w:rPr>
                <w:b/>
                <w:lang w:val="uk-UA"/>
              </w:rPr>
            </w:r>
          </w:p>
          <w:p>
            <w:pPr>
              <w:pStyle w:val="Normal"/>
              <w:jc w:val="center"/>
              <w:rPr>
                <w:lang w:val="uk-UA"/>
              </w:rPr>
            </w:pPr>
            <w:r>
              <w:rPr>
                <w:lang w:val="uk-UA"/>
              </w:rPr>
              <w:t>шт.</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10</w:t>
            </w:r>
          </w:p>
        </w:tc>
        <w:tc>
          <w:tcPr>
            <w:tcW w:w="156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0</w:t>
            </w:r>
          </w:p>
        </w:tc>
      </w:tr>
      <w:tr>
        <w:trPr>
          <w:trHeight w:val="720"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ефективності</w:t>
            </w:r>
          </w:p>
          <w:p>
            <w:pPr>
              <w:pStyle w:val="Style28"/>
              <w:spacing w:before="0" w:after="0"/>
              <w:rPr>
                <w:lang w:val="uk-UA"/>
              </w:rPr>
            </w:pPr>
            <w:r>
              <w:rPr>
                <w:lang w:val="uk-UA"/>
              </w:rPr>
              <w:t>Процент впроваджених адміністративних послуг в електронному вигляді</w:t>
            </w:r>
          </w:p>
        </w:tc>
        <w:tc>
          <w:tcPr>
            <w:tcW w:w="993"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6,8</w:t>
            </w:r>
          </w:p>
        </w:tc>
        <w:tc>
          <w:tcPr>
            <w:tcW w:w="1560" w:type="dxa"/>
            <w:tcBorders>
              <w:top w:val="single" w:sz="4" w:space="0" w:color="000000"/>
              <w:left w:val="single" w:sz="4" w:space="0" w:color="000000"/>
              <w:bottom w:val="single" w:sz="4" w:space="0" w:color="000000"/>
            </w:tcBorders>
            <w:shd w:fill="auto" w:val="clear"/>
            <w:vAlign w:val="center"/>
          </w:tcPr>
          <w:p>
            <w:pPr>
              <w:pStyle w:val="Normal"/>
              <w:jc w:val="center"/>
              <w:rPr>
                <w:lang w:val="uk-UA"/>
              </w:rPr>
            </w:pPr>
            <w:r>
              <w:rPr>
                <w:lang w:val="uk-UA"/>
              </w:rPr>
              <w:t>6,8</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lang w:val="uk-UA"/>
              </w:rPr>
            </w:pPr>
            <w:r>
              <w:rPr>
                <w:lang w:val="uk-UA"/>
              </w:rPr>
              <w:t>0</w:t>
            </w:r>
          </w:p>
        </w:tc>
      </w:tr>
      <w:tr>
        <w:trPr>
          <w:trHeight w:val="632" w:hRule="atLeast"/>
        </w:trPr>
        <w:tc>
          <w:tcPr>
            <w:tcW w:w="2508" w:type="dxa"/>
            <w:vMerge w:val="continue"/>
            <w:tcBorders>
              <w:top w:val="single" w:sz="4" w:space="0" w:color="000000"/>
              <w:left w:val="single" w:sz="4" w:space="0" w:color="000000"/>
              <w:bottom w:val="single" w:sz="4" w:space="0" w:color="000000"/>
            </w:tcBorders>
            <w:shd w:fill="auto" w:val="clear"/>
            <w:vAlign w:val="center"/>
          </w:tcPr>
          <w:p>
            <w:pPr>
              <w:pStyle w:val="Normal"/>
              <w:rPr/>
            </w:pPr>
            <w:r>
              <w:rPr/>
            </w:r>
          </w:p>
        </w:tc>
        <w:tc>
          <w:tcPr>
            <w:tcW w:w="7239" w:type="dxa"/>
            <w:tcBorders>
              <w:top w:val="single" w:sz="4" w:space="0" w:color="000000"/>
              <w:left w:val="single" w:sz="4" w:space="0" w:color="000000"/>
              <w:bottom w:val="single" w:sz="4" w:space="0" w:color="000000"/>
            </w:tcBorders>
            <w:shd w:fill="auto" w:val="clear"/>
          </w:tcPr>
          <w:p>
            <w:pPr>
              <w:pStyle w:val="Style28"/>
              <w:spacing w:before="0" w:after="0"/>
              <w:rPr>
                <w:b/>
                <w:b/>
                <w:lang w:val="uk-UA"/>
              </w:rPr>
            </w:pPr>
            <w:r>
              <w:rPr>
                <w:b/>
                <w:lang w:val="uk-UA"/>
              </w:rPr>
              <w:t>Показник якості</w:t>
            </w:r>
          </w:p>
          <w:p>
            <w:pPr>
              <w:pStyle w:val="Style28"/>
              <w:spacing w:before="0" w:after="0"/>
              <w:rPr>
                <w:lang w:val="uk-UA"/>
              </w:rPr>
            </w:pPr>
            <w:r>
              <w:rPr>
                <w:lang w:val="uk-UA"/>
              </w:rPr>
              <w:t>Зручність для громадян</w:t>
            </w:r>
          </w:p>
        </w:tc>
        <w:tc>
          <w:tcPr>
            <w:tcW w:w="993"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w:t>
            </w:r>
          </w:p>
        </w:tc>
        <w:tc>
          <w:tcPr>
            <w:tcW w:w="1559"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100</w:t>
            </w:r>
          </w:p>
        </w:tc>
        <w:tc>
          <w:tcPr>
            <w:tcW w:w="1560"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100</w:t>
            </w:r>
          </w:p>
        </w:tc>
        <w:tc>
          <w:tcPr>
            <w:tcW w:w="1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lang w:val="uk-UA"/>
              </w:rPr>
            </w:pPr>
            <w:r>
              <w:rPr>
                <w:lang w:val="uk-UA"/>
              </w:rPr>
            </w:r>
          </w:p>
          <w:p>
            <w:pPr>
              <w:pStyle w:val="Normal"/>
              <w:jc w:val="center"/>
              <w:rPr>
                <w:lang w:val="uk-UA"/>
              </w:rPr>
            </w:pPr>
            <w:r>
              <w:rPr>
                <w:lang w:val="uk-UA"/>
              </w:rPr>
              <w:t>0</w:t>
            </w:r>
          </w:p>
        </w:tc>
      </w:tr>
    </w:tbl>
    <w:p>
      <w:pPr>
        <w:pStyle w:val="Normal"/>
        <w:ind w:left="0" w:right="0" w:firstLine="708"/>
        <w:jc w:val="both"/>
        <w:rPr>
          <w:lang w:val="uk-UA"/>
        </w:rPr>
      </w:pPr>
      <w:r>
        <w:rPr>
          <w:lang w:val="uk-UA"/>
        </w:rPr>
      </w:r>
    </w:p>
    <w:p>
      <w:pPr>
        <w:pStyle w:val="Normal"/>
        <w:ind w:left="0" w:right="0" w:firstLine="708"/>
        <w:jc w:val="both"/>
        <w:rPr>
          <w:lang w:val="uk-UA"/>
        </w:rPr>
      </w:pPr>
      <w:r>
        <w:rPr>
          <w:lang w:val="uk-UA"/>
        </w:rPr>
      </w:r>
    </w:p>
    <w:p>
      <w:pPr>
        <w:pStyle w:val="Normal"/>
        <w:ind w:left="0" w:right="0" w:firstLine="708"/>
        <w:jc w:val="both"/>
        <w:rPr>
          <w:lang w:val="uk-UA"/>
        </w:rPr>
      </w:pPr>
      <w:r>
        <w:rPr>
          <w:lang w:val="uk-UA"/>
        </w:rPr>
      </w:r>
    </w:p>
    <w:p>
      <w:pPr>
        <w:pStyle w:val="Normal"/>
        <w:ind w:left="0" w:right="0" w:firstLine="708"/>
        <w:jc w:val="both"/>
        <w:rPr>
          <w:lang w:val="uk-UA"/>
        </w:rPr>
      </w:pPr>
      <w:r>
        <w:rPr>
          <w:lang w:val="uk-UA"/>
        </w:rPr>
      </w:r>
    </w:p>
    <w:p>
      <w:pPr>
        <w:pStyle w:val="Normal"/>
        <w:ind w:left="0" w:right="0" w:firstLine="708"/>
        <w:jc w:val="both"/>
        <w:rPr>
          <w:lang w:val="uk-UA"/>
        </w:rPr>
      </w:pPr>
      <w:r>
        <w:rPr>
          <w:lang w:val="uk-UA"/>
        </w:rPr>
      </w:r>
    </w:p>
    <w:p>
      <w:pPr>
        <w:pStyle w:val="Normal"/>
        <w:ind w:left="0" w:right="0" w:firstLine="708"/>
        <w:jc w:val="both"/>
        <w:rPr/>
      </w:pPr>
      <w:r>
        <w:rPr>
          <w:lang w:val="uk-UA"/>
        </w:rPr>
        <w:tab/>
        <w:tab/>
        <w:tab/>
        <w:t>Секретар ради</w:t>
        <w:tab/>
        <w:tab/>
        <w:tab/>
        <w:tab/>
        <w:tab/>
        <w:tab/>
        <w:tab/>
      </w:r>
      <w:r>
        <w:rPr>
          <w:b/>
          <w:lang w:val="uk-UA"/>
        </w:rPr>
        <w:t>В.П. Ткачук</w:t>
      </w:r>
    </w:p>
    <w:p>
      <w:pPr>
        <w:pStyle w:val="Normal"/>
        <w:ind w:left="0" w:right="0" w:firstLine="708"/>
        <w:jc w:val="both"/>
        <w:rPr>
          <w:b/>
          <w:b/>
          <w:lang w:val="uk-UA"/>
        </w:rPr>
      </w:pPr>
      <w:r>
        <w:rPr>
          <w:b/>
          <w:lang w:val="uk-UA"/>
        </w:rPr>
      </w:r>
    </w:p>
    <w:sectPr>
      <w:footerReference w:type="default" r:id="rId5"/>
      <w:footerReference w:type="first" r:id="rId6"/>
      <w:type w:val="nextPage"/>
      <w:pgSz w:orient="landscape" w:w="16838" w:h="11906"/>
      <w:pgMar w:left="567" w:right="567" w:header="0" w:top="1701" w:footer="284"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0</w:t>
    </w:r>
    <w:r>
      <w:rPr/>
      <w:fldChar w:fldCharType="end"/>
    </w:r>
  </w:p>
  <w:p>
    <w:pPr>
      <w:pStyle w:val="Style24"/>
      <w:ind w:left="0"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0</w:t>
    </w:r>
    <w:r>
      <w:rPr/>
      <w:fldChar w:fldCharType="end"/>
    </w:r>
  </w:p>
  <w:p>
    <w:pPr>
      <w:pStyle w:val="Style24"/>
      <w:ind w:left="0"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576" w:hanging="576"/>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50"/>
        </w:tabs>
        <w:ind w:left="0" w:hanging="0"/>
      </w:pPr>
      <w:rPr>
        <w:sz w:val="24"/>
        <w:szCs w:val="24"/>
        <w:rFonts w:ascii="Times New Roman" w:hAnsi="Times New Roman" w:cs="Times New Roman"/>
        <w:lang w:val="uk-UA"/>
      </w:rPr>
    </w:lvl>
  </w:abstractNum>
  <w:abstractNum w:abstractNumId="3">
    <w:lvl w:ilvl="0">
      <w:start w:val="1"/>
      <w:numFmt w:val="decimal"/>
      <w:lvlText w:val="%1."/>
      <w:lvlJc w:val="left"/>
      <w:pPr>
        <w:tabs>
          <w:tab w:val="num" w:pos="1068"/>
        </w:tabs>
        <w:ind w:left="1068" w:hanging="360"/>
      </w:pPr>
      <w:rPr/>
    </w:lvl>
  </w:abstractNum>
  <w:abstractNum w:abstractNumId="4">
    <w:lvl w:ilvl="0">
      <w:start w:val="1"/>
      <w:numFmt w:val="decimal"/>
      <w:lvlText w:val="4.%1."/>
      <w:lvlJc w:val="left"/>
      <w:pPr>
        <w:tabs>
          <w:tab w:val="num" w:pos="1260"/>
        </w:tabs>
        <w:ind w:left="1260" w:hanging="360"/>
      </w:pPr>
      <w:rPr>
        <w:lang w:val="uk-UA"/>
      </w:rPr>
    </w:lvl>
  </w:abstractNum>
  <w:abstractNum w:abstractNumId="5">
    <w:lvl w:ilvl="0">
      <w:start w:val="1"/>
      <w:numFmt w:val="decimal"/>
      <w:lvlText w:val="2.%1."/>
      <w:lvlJc w:val="left"/>
      <w:pPr>
        <w:tabs>
          <w:tab w:val="num" w:pos="600"/>
        </w:tabs>
        <w:ind w:left="600" w:hanging="360"/>
      </w:pPr>
      <w:rPr>
        <w:lang w:val="uk-UA"/>
      </w:rPr>
    </w:lvl>
  </w:abstractNum>
  <w:abstractNum w:abstractNumId="6">
    <w:lvl w:ilvl="0">
      <w:start w:val="1"/>
      <w:numFmt w:val="decimal"/>
      <w:lvlText w:val="3.%1."/>
      <w:lvlJc w:val="left"/>
      <w:pPr>
        <w:tabs>
          <w:tab w:val="num" w:pos="1260"/>
        </w:tabs>
        <w:ind w:left="1260" w:hanging="360"/>
      </w:pPr>
      <w:rPr>
        <w:lang w:val="uk-UA"/>
      </w:rPr>
    </w:lvl>
  </w:abstractNum>
  <w:abstractNum w:abstractNumId="7">
    <w:lvl w:ilvl="0">
      <w:start w:val="1"/>
      <w:numFmt w:val="bullet"/>
      <w:lvlText w:val=""/>
      <w:lvlJc w:val="left"/>
      <w:pPr>
        <w:ind w:left="720" w:hanging="360"/>
      </w:pPr>
      <w:rPr>
        <w:rFonts w:ascii="Symbol" w:hAnsi="Symbol" w:cs="Symbol" w:hint="default"/>
        <w:rFonts w:cs="Symbol"/>
      </w:rPr>
    </w:lvl>
  </w:abstractNum>
  <w:abstractNum w:abstractNumId="8">
    <w:lvl w:ilvl="0">
      <w:start w:val="1"/>
      <w:numFmt w:val="decimal"/>
      <w:lvlText w:val="5.1.%1."/>
      <w:lvlJc w:val="left"/>
      <w:pPr>
        <w:tabs>
          <w:tab w:val="num" w:pos="709"/>
        </w:tabs>
        <w:ind w:left="1069" w:hanging="360"/>
      </w:pPr>
      <w:rPr>
        <w:lang w:val="uk-U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Cs w:val="24"/>
        <w:lang w:val="ru-RU"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MS Mincho;ＭＳ 明朝" w:cs="Times New Roman"/>
      <w:color w:val="auto"/>
      <w:sz w:val="24"/>
      <w:szCs w:val="24"/>
      <w:lang w:val="ru-RU" w:eastAsia="zh-CN" w:bidi="ar-SA"/>
    </w:rPr>
  </w:style>
  <w:style w:type="paragraph" w:styleId="2">
    <w:name w:val="Heading 2"/>
    <w:basedOn w:val="Normal"/>
    <w:next w:val="Normal"/>
    <w:qFormat/>
    <w:pPr>
      <w:keepNext w:val="true"/>
      <w:widowControl w:val="false"/>
      <w:numPr>
        <w:ilvl w:val="1"/>
        <w:numId w:val="1"/>
      </w:numPr>
      <w:autoSpaceDE w:val="false"/>
      <w:spacing w:lineRule="exact" w:line="278" w:before="264" w:after="0"/>
      <w:ind w:left="19" w:right="4608" w:hanging="0"/>
      <w:outlineLvl w:val="1"/>
    </w:pPr>
    <w:rPr>
      <w:rFonts w:eastAsia="Times New Roman"/>
      <w:color w:val="000000"/>
      <w:lang w:val="uk-U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cs="Times New Roman"/>
      <w:sz w:val="24"/>
      <w:szCs w:val="24"/>
      <w:lang w:val="uk-UA"/>
    </w:rPr>
  </w:style>
  <w:style w:type="character" w:styleId="WW8Num3z0">
    <w:name w:val="WW8Num3z0"/>
    <w:qFormat/>
    <w:rPr>
      <w:lang w:val="uk-UA"/>
    </w:rPr>
  </w:style>
  <w:style w:type="character" w:styleId="WW8Num4z0">
    <w:name w:val="WW8Num4z0"/>
    <w:qFormat/>
    <w:rPr/>
  </w:style>
  <w:style w:type="character" w:styleId="WW8Num5z0">
    <w:name w:val="WW8Num5z0"/>
    <w:qFormat/>
    <w:rPr/>
  </w:style>
  <w:style w:type="character" w:styleId="WW8Num6z0">
    <w:name w:val="WW8Num6z0"/>
    <w:qFormat/>
    <w:rPr>
      <w:rFonts w:ascii="Times New Roman" w:hAnsi="Times New Roman" w:cs="Times New Roman"/>
      <w:lang w:val="uk-UA"/>
    </w:rPr>
  </w:style>
  <w:style w:type="character" w:styleId="WW8Num7z0">
    <w:name w:val="WW8Num7z0"/>
    <w:qFormat/>
    <w:rPr>
      <w:lang w:val="uk-UA"/>
    </w:rPr>
  </w:style>
  <w:style w:type="character" w:styleId="WW8Num8z0">
    <w:name w:val="WW8Num8z0"/>
    <w:qFormat/>
    <w:rPr>
      <w:lang w:val="uk-UA"/>
    </w:rPr>
  </w:style>
  <w:style w:type="character" w:styleId="WW8Num9z0">
    <w:name w:val="WW8Num9z0"/>
    <w:qFormat/>
    <w:rPr>
      <w:lang w:val="uk-UA"/>
    </w:rPr>
  </w:style>
  <w:style w:type="character" w:styleId="WW8Num10z0">
    <w:name w:val="WW8Num10z0"/>
    <w:qFormat/>
    <w:rPr>
      <w:lang w:val="uk-UA"/>
    </w:rPr>
  </w:style>
  <w:style w:type="character" w:styleId="WW8Num11z0">
    <w:name w:val="WW8Num11z0"/>
    <w:qFormat/>
    <w:rPr>
      <w:lang w:val="uk-UA"/>
    </w:rPr>
  </w:style>
  <w:style w:type="character" w:styleId="WW8Num11z3">
    <w:name w:val="WW8Num11z3"/>
    <w:qFormat/>
    <w:rPr>
      <w:rFonts w:ascii="Symbol" w:hAnsi="Symbol" w:cs="Symbol"/>
      <w:lang w:val="uk-UA"/>
    </w:rPr>
  </w:style>
  <w:style w:type="character" w:styleId="WW8Num12z0">
    <w:name w:val="WW8Num12z0"/>
    <w:qFormat/>
    <w:rPr>
      <w:lang w:val="uk-UA"/>
    </w:rPr>
  </w:style>
  <w:style w:type="character" w:styleId="WW8Num13z0">
    <w:name w:val="WW8Num13z0"/>
    <w:qFormat/>
    <w:rPr/>
  </w:style>
  <w:style w:type="character" w:styleId="WW8Num14z0">
    <w:name w:val="WW8Num14z0"/>
    <w:qFormat/>
    <w:rPr>
      <w:lang w:val="uk-UA"/>
    </w:rPr>
  </w:style>
  <w:style w:type="character" w:styleId="WW8Num14z3">
    <w:name w:val="WW8Num14z3"/>
    <w:qFormat/>
    <w:rPr>
      <w:rFonts w:ascii="Symbol" w:hAnsi="Symbol" w:cs="Symbol"/>
      <w:lang w:val="uk-UA"/>
    </w:rPr>
  </w:style>
  <w:style w:type="character" w:styleId="WW8Num15z0">
    <w:name w:val="WW8Num15z0"/>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8z0">
    <w:name w:val="WW8Num18z0"/>
    <w:qFormat/>
    <w:rPr>
      <w:lang w:val="uk-UA"/>
    </w:rPr>
  </w:style>
  <w:style w:type="character" w:styleId="WW8Num18z3">
    <w:name w:val="WW8Num18z3"/>
    <w:qFormat/>
    <w:rPr>
      <w:rFonts w:ascii="Times New Roman" w:hAnsi="Times New Roman" w:cs="Times New Roman"/>
      <w:lang w:val="uk-UA"/>
    </w:rPr>
  </w:style>
  <w:style w:type="character" w:styleId="WW8Num19z0">
    <w:name w:val="WW8Num19z0"/>
    <w:qFormat/>
    <w:rPr/>
  </w:style>
  <w:style w:type="character" w:styleId="WW8Num20z0">
    <w:name w:val="WW8Num20z0"/>
    <w:qFormat/>
    <w:rPr/>
  </w:style>
  <w:style w:type="character" w:styleId="WW8Num21z0">
    <w:name w:val="WW8Num21z0"/>
    <w:qFormat/>
    <w:rPr>
      <w:lang w:val="uk-UA"/>
    </w:rPr>
  </w:style>
  <w:style w:type="character" w:styleId="WW8Num22z0">
    <w:name w:val="WW8Num22z0"/>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lang w:val="uk-UA"/>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lang w:val="uk-UA"/>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Style13">
    <w:name w:val="Основной шрифт абзаца"/>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rFonts w:ascii="Times New Roman" w:hAnsi="Times New Roman" w:eastAsia="MS Mincho;ＭＳ 明朝" w:cs="Times New Roman"/>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1">
    <w:name w:val="Основной шрифт абзаца1"/>
    <w:qFormat/>
    <w:rPr/>
  </w:style>
  <w:style w:type="character" w:styleId="Style14">
    <w:name w:val="Номер страницы"/>
    <w:basedOn w:val="1"/>
    <w:rPr/>
  </w:style>
  <w:style w:type="character" w:styleId="FontStyle">
    <w:name w:val="Font Style"/>
    <w:qFormat/>
    <w:rPr>
      <w:rFonts w:cs="Courier New"/>
      <w:color w:val="000000"/>
      <w:sz w:val="20"/>
      <w:szCs w:val="20"/>
    </w:rPr>
  </w:style>
  <w:style w:type="character" w:styleId="11">
    <w:name w:val=" Знак Знак1"/>
    <w:basedOn w:val="1"/>
    <w:qFormat/>
    <w:rPr>
      <w:rFonts w:eastAsia="Times New Roman"/>
      <w:color w:val="000000"/>
      <w:sz w:val="24"/>
      <w:szCs w:val="24"/>
      <w:highlight w:val="white"/>
      <w:lang w:val="uk-UA"/>
    </w:rPr>
  </w:style>
  <w:style w:type="character" w:styleId="Style15">
    <w:name w:val=" Знак Знак"/>
    <w:basedOn w:val="1"/>
    <w:qFormat/>
    <w:rPr>
      <w:sz w:val="24"/>
      <w:szCs w:val="24"/>
    </w:rPr>
  </w:style>
  <w:style w:type="character" w:styleId="21">
    <w:name w:val=" Знак Знак2"/>
    <w:basedOn w:val="Style13"/>
    <w:qFormat/>
    <w:rPr>
      <w:rFonts w:ascii="Courier New" w:hAnsi="Courier New" w:cs="Courier New"/>
    </w:rPr>
  </w:style>
  <w:style w:type="character" w:styleId="Style16">
    <w:name w:val="Интернет-ссылка"/>
    <w:basedOn w:val="Style13"/>
    <w:rPr>
      <w:color w:val="0000FF"/>
      <w:u w:val="single"/>
    </w:rPr>
  </w:style>
  <w:style w:type="paragraph" w:styleId="Style17">
    <w:name w:val="Заголовок"/>
    <w:basedOn w:val="Normal"/>
    <w:next w:val="Style18"/>
    <w:qFormat/>
    <w:pPr>
      <w:jc w:val="center"/>
    </w:pPr>
    <w:rPr>
      <w:sz w:val="28"/>
    </w:rPr>
  </w:style>
  <w:style w:type="paragraph" w:styleId="Style18">
    <w:name w:val="Body Text"/>
    <w:basedOn w:val="Normal"/>
    <w:pPr>
      <w:jc w:val="both"/>
    </w:pPr>
    <w:rPr>
      <w:sz w:val="20"/>
      <w:szCs w:val="20"/>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name w:val="Название объекта"/>
    <w:basedOn w:val="Normal"/>
    <w:qFormat/>
    <w:pPr>
      <w:suppressLineNumbers/>
      <w:spacing w:before="120" w:after="120"/>
    </w:pPr>
    <w:rPr>
      <w:rFonts w:cs="Mangal"/>
      <w:i/>
      <w:iCs/>
      <w:sz w:val="24"/>
      <w:szCs w:val="24"/>
    </w:rPr>
  </w:style>
  <w:style w:type="paragraph" w:styleId="12">
    <w:name w:val="Указатель1"/>
    <w:basedOn w:val="Normal"/>
    <w:qFormat/>
    <w:pPr>
      <w:suppressLineNumbers/>
    </w:pPr>
    <w:rPr>
      <w:rFonts w:cs="Mangal"/>
    </w:rPr>
  </w:style>
  <w:style w:type="paragraph" w:styleId="LONormal">
    <w:name w:val="LO-Normal"/>
    <w:qFormat/>
    <w:pPr>
      <w:widowControl/>
      <w:suppressAutoHyphens w:val="true"/>
      <w:kinsoku w:val="true"/>
      <w:overflowPunct w:val="true"/>
      <w:autoSpaceDE w:val="true"/>
      <w:bidi w:val="0"/>
      <w:jc w:val="center"/>
    </w:pPr>
    <w:rPr>
      <w:rFonts w:ascii="Arial" w:hAnsi="Arial" w:eastAsia="MS Mincho;ＭＳ 明朝" w:cs="Arial"/>
      <w:color w:val="auto"/>
      <w:sz w:val="20"/>
      <w:szCs w:val="20"/>
      <w:lang w:val="uk-UA" w:eastAsia="zh-CN" w:bidi="ar-SA"/>
    </w:rPr>
  </w:style>
  <w:style w:type="paragraph" w:styleId="Style23">
    <w:name w:val="Body Text Indent"/>
    <w:basedOn w:val="Normal"/>
    <w:pPr>
      <w:ind w:left="0" w:right="0" w:firstLine="708"/>
    </w:pPr>
    <w:rPr>
      <w:lang w:val="uk-UA"/>
    </w:rPr>
  </w:style>
  <w:style w:type="paragraph" w:styleId="Style24">
    <w:name w:val="Footer"/>
    <w:basedOn w:val="Normal"/>
    <w:pPr>
      <w:tabs>
        <w:tab w:val="clear" w:pos="709"/>
        <w:tab w:val="center" w:pos="4677" w:leader="none"/>
        <w:tab w:val="right" w:pos="9355" w:leader="none"/>
      </w:tabs>
    </w:pPr>
    <w:rPr/>
  </w:style>
  <w:style w:type="paragraph" w:styleId="ParagraphStyle">
    <w:name w:val="Paragraph Style"/>
    <w:qFormat/>
    <w:pPr>
      <w:widowControl/>
      <w:suppressAutoHyphens w:val="true"/>
      <w:kinsoku w:val="true"/>
      <w:overflowPunct w:val="true"/>
      <w:autoSpaceDE w:val="false"/>
      <w:bidi w:val="0"/>
    </w:pPr>
    <w:rPr>
      <w:rFonts w:ascii="Courier New" w:hAnsi="Courier New" w:eastAsia="Times New Roman" w:cs="Courier New"/>
      <w:color w:val="auto"/>
      <w:sz w:val="24"/>
      <w:szCs w:val="24"/>
      <w:lang w:val="ru-RU" w:eastAsia="zh-CN" w:bidi="ar-SA"/>
    </w:rPr>
  </w:style>
  <w:style w:type="paragraph" w:styleId="CharChar">
    <w:name w:val="Char Знак Char"/>
    <w:basedOn w:val="Normal"/>
    <w:qFormat/>
    <w:pPr>
      <w:tabs>
        <w:tab w:val="clear" w:pos="709"/>
        <w:tab w:val="left" w:pos="567" w:leader="none"/>
      </w:tabs>
    </w:pPr>
    <w:rPr>
      <w:rFonts w:eastAsia="Times New Roman"/>
      <w:lang w:val="uk-UA"/>
    </w:rPr>
  </w:style>
  <w:style w:type="paragraph" w:styleId="Style25">
    <w:name w:val="Header"/>
    <w:basedOn w:val="Normal"/>
    <w:pPr>
      <w:tabs>
        <w:tab w:val="clear" w:pos="709"/>
        <w:tab w:val="center" w:pos="4677" w:leader="none"/>
        <w:tab w:val="right" w:pos="9355" w:leader="none"/>
      </w:tabs>
    </w:pPr>
    <w:rPr/>
  </w:style>
  <w:style w:type="paragraph" w:styleId="Style26">
    <w:name w:val="Содержимое таблицы"/>
    <w:basedOn w:val="Normal"/>
    <w:qFormat/>
    <w:pPr>
      <w:suppressLineNumbers/>
    </w:pPr>
    <w:rPr/>
  </w:style>
  <w:style w:type="paragraph" w:styleId="Style27">
    <w:name w:val="Заголовок таблицы"/>
    <w:basedOn w:val="Style26"/>
    <w:qFormat/>
    <w:pPr>
      <w:suppressLineNumbers/>
      <w:jc w:val="center"/>
    </w:pPr>
    <w:rPr>
      <w:b/>
      <w:bCs/>
    </w:rPr>
  </w:style>
  <w:style w:type="paragraph" w:styleId="Style28">
    <w:name w:val="Обычный (веб)"/>
    <w:basedOn w:val="Normal"/>
    <w:qFormat/>
    <w:pPr>
      <w:suppressAutoHyphens w:val="false"/>
      <w:spacing w:before="280" w:after="119"/>
    </w:pPr>
    <w:rPr>
      <w:rFonts w:eastAsia="Times New Roman"/>
    </w:rPr>
  </w:style>
  <w:style w:type="paragraph" w:styleId="HTML">
    <w:name w:val="Стандартный HTML"/>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sz w:val="20"/>
      <w:szCs w:val="20"/>
    </w:rPr>
  </w:style>
  <w:style w:type="paragraph" w:styleId="Style29">
    <w:name w:val="Содержимое врезки"/>
    <w:basedOn w:val="Normal"/>
    <w:qFormat/>
    <w:pPr/>
    <w:rPr/>
  </w:style>
  <w:style w:type="paragraph" w:styleId="Standard">
    <w:name w:val="Standard"/>
    <w:qFormat/>
    <w:pPr>
      <w:widowControl w:val="false"/>
      <w:suppressAutoHyphens w:val="true"/>
      <w:kinsoku w:val="true"/>
      <w:overflowPunct w:val="true"/>
      <w:autoSpaceDE w:val="true"/>
      <w:bidi w:val="0"/>
      <w:textAlignment w:val="baseline"/>
    </w:pPr>
    <w:rPr>
      <w:rFonts w:ascii="Times New Roman" w:hAnsi="Times New Roman" w:eastAsia="Andale Sans UI;Arial Unicode MS" w:cs="Tahoma"/>
      <w:color w:val="auto"/>
      <w:kern w:val="2"/>
      <w:sz w:val="24"/>
      <w:szCs w:val="24"/>
      <w:lang w:val="de-DE" w:eastAsia="ja-JP" w:bidi="fa-I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s://igov.org.ua/"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687</TotalTime>
  <Application>LibreOffice/6.2.3.2$Windows_X86_64 LibreOffice_project/aecc05fe267cc68dde00352a451aa867b3b546ac</Application>
  <Pages>15</Pages>
  <Words>2881</Words>
  <Characters>18255</Characters>
  <CharactersWithSpaces>20539</CharactersWithSpaces>
  <Paragraphs>639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2019-03-04T15:55:00Z</dcterms:created>
  <dc:creator>Гурская</dc:creator>
  <dc:description/>
  <cp:keywords/>
  <dc:language>ru-RU</dc:language>
  <cp:lastModifiedBy/>
  <cp:lastPrinted>2019-05-10T11:24:28Z</cp:lastPrinted>
  <dcterms:modified xsi:type="dcterms:W3CDTF">2019-05-16T15:32:44Z</dcterms:modified>
  <cp:revision>169</cp:revision>
  <dc:subject/>
  <dc:title>Отчет</dc:title>
</cp:coreProperties>
</file>