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32" w:rsidRPr="00062DC6" w:rsidRDefault="00680B32" w:rsidP="00680B32">
      <w:pPr>
        <w:spacing w:after="0"/>
        <w:jc w:val="right"/>
        <w:rPr>
          <w:rFonts w:ascii="Times New Roman" w:hAnsi="Times New Roman"/>
          <w:b/>
          <w:bCs/>
          <w:i/>
        </w:rPr>
      </w:pPr>
    </w:p>
    <w:p w:rsidR="00680B32" w:rsidRPr="0016375A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</w:rPr>
      </w:pPr>
      <w:r w:rsidRPr="0016375A">
        <w:rPr>
          <w:rFonts w:ascii="Times New Roman" w:hAnsi="Times New Roman"/>
          <w:b/>
          <w:bCs/>
          <w:sz w:val="28"/>
        </w:rPr>
        <w:t xml:space="preserve">СЄВЄРОДОНЕЦЬКА МIСЬКА РАДА                  </w:t>
      </w:r>
    </w:p>
    <w:p w:rsidR="00680B32" w:rsidRPr="0016375A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СЬОМОГО</w:t>
      </w:r>
      <w:r w:rsidRPr="0016375A">
        <w:rPr>
          <w:rFonts w:ascii="Times New Roman" w:hAnsi="Times New Roman"/>
          <w:b/>
          <w:bCs/>
          <w:sz w:val="28"/>
        </w:rPr>
        <w:t xml:space="preserve"> СКЛИКАННЯ</w:t>
      </w:r>
    </w:p>
    <w:p w:rsidR="00680B32" w:rsidRPr="0016375A" w:rsidRDefault="002056DA" w:rsidP="002056DA">
      <w:pPr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Шістдесят третя </w:t>
      </w:r>
      <w:r w:rsidRPr="007446BE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позачергова</w:t>
      </w:r>
      <w:r w:rsidRPr="007446BE">
        <w:rPr>
          <w:rFonts w:ascii="Times New Roman" w:hAnsi="Times New Roman"/>
          <w:b/>
          <w:sz w:val="28"/>
          <w:szCs w:val="28"/>
        </w:rPr>
        <w:t>) сесія</w:t>
      </w:r>
    </w:p>
    <w:p w:rsidR="00680B32" w:rsidRPr="0016375A" w:rsidRDefault="00680B32" w:rsidP="00680B32">
      <w:pPr>
        <w:spacing w:after="0" w:line="48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РIШЕННЯ  № </w:t>
      </w:r>
      <w:r w:rsidR="002056DA">
        <w:rPr>
          <w:rFonts w:ascii="Times New Roman" w:hAnsi="Times New Roman"/>
          <w:b/>
          <w:sz w:val="28"/>
        </w:rPr>
        <w:t>3562</w:t>
      </w:r>
    </w:p>
    <w:p w:rsidR="00680B32" w:rsidRDefault="00680B32" w:rsidP="00680B3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0B32" w:rsidRPr="007676DB" w:rsidRDefault="00680B32" w:rsidP="00680B3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676DB">
        <w:rPr>
          <w:rFonts w:ascii="Times New Roman" w:hAnsi="Times New Roman"/>
          <w:b/>
          <w:bCs/>
          <w:sz w:val="24"/>
          <w:szCs w:val="24"/>
        </w:rPr>
        <w:t>«</w:t>
      </w:r>
      <w:r w:rsidR="002056DA">
        <w:rPr>
          <w:rFonts w:ascii="Times New Roman" w:hAnsi="Times New Roman"/>
          <w:b/>
          <w:bCs/>
          <w:sz w:val="24"/>
          <w:szCs w:val="24"/>
        </w:rPr>
        <w:t xml:space="preserve"> 10 </w:t>
      </w:r>
      <w:r w:rsidRPr="007676DB">
        <w:rPr>
          <w:rFonts w:ascii="Times New Roman" w:hAnsi="Times New Roman"/>
          <w:b/>
          <w:bCs/>
          <w:sz w:val="24"/>
          <w:szCs w:val="24"/>
        </w:rPr>
        <w:t>»</w:t>
      </w:r>
      <w:r w:rsidR="002056DA">
        <w:rPr>
          <w:rFonts w:ascii="Times New Roman" w:hAnsi="Times New Roman"/>
          <w:b/>
          <w:bCs/>
          <w:sz w:val="24"/>
          <w:szCs w:val="24"/>
        </w:rPr>
        <w:t xml:space="preserve"> травня</w:t>
      </w:r>
      <w:r w:rsidRPr="007676DB">
        <w:rPr>
          <w:rFonts w:ascii="Times New Roman" w:hAnsi="Times New Roman"/>
          <w:b/>
          <w:bCs/>
          <w:sz w:val="24"/>
          <w:szCs w:val="24"/>
        </w:rPr>
        <w:t xml:space="preserve"> 2019 року                                                                                         </w:t>
      </w:r>
    </w:p>
    <w:p w:rsidR="00680B32" w:rsidRPr="007676DB" w:rsidRDefault="00680B32" w:rsidP="00680B3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76DB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7676DB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680B32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B32" w:rsidRPr="007676DB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 xml:space="preserve">Про  затвердження «Положення  про </w:t>
      </w:r>
      <w:proofErr w:type="spellStart"/>
      <w:r w:rsidRPr="007676DB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Pr="007676DB">
        <w:rPr>
          <w:rFonts w:ascii="Times New Roman" w:hAnsi="Times New Roman"/>
          <w:sz w:val="24"/>
          <w:szCs w:val="24"/>
        </w:rPr>
        <w:t xml:space="preserve"> </w:t>
      </w:r>
    </w:p>
    <w:p w:rsidR="00680B32" w:rsidRPr="007676DB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>міський Центр соціальних служб для сім’ї, дітей та молоді»</w:t>
      </w:r>
    </w:p>
    <w:p w:rsidR="00680B32" w:rsidRPr="007676DB" w:rsidRDefault="00680B32" w:rsidP="00680B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>в новій редакції</w:t>
      </w:r>
    </w:p>
    <w:p w:rsidR="00680B32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Pr="0016375A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Pr="00345B58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</w:t>
      </w:r>
      <w:r w:rsidR="00680B32" w:rsidRPr="00345B58">
        <w:rPr>
          <w:rFonts w:ascii="Times New Roman" w:hAnsi="Times New Roman"/>
          <w:sz w:val="24"/>
          <w:szCs w:val="24"/>
        </w:rPr>
        <w:t xml:space="preserve">Керуючись ст.17, ст. 26 Закону України «Про місцеве самоврядування в Україні», </w:t>
      </w:r>
      <w:r w:rsidR="00680B32">
        <w:rPr>
          <w:rFonts w:ascii="Times New Roman" w:hAnsi="Times New Roman"/>
          <w:sz w:val="24"/>
          <w:szCs w:val="24"/>
        </w:rPr>
        <w:t xml:space="preserve">   відповідно до частини третьої статті</w:t>
      </w:r>
      <w:r w:rsidR="00680B32" w:rsidRPr="00345B58">
        <w:rPr>
          <w:rFonts w:ascii="Times New Roman" w:hAnsi="Times New Roman"/>
          <w:sz w:val="24"/>
          <w:szCs w:val="24"/>
        </w:rPr>
        <w:t xml:space="preserve"> 17 Закону України «Про соціальну роботу з сім’ями, дітьми та молоддю», постановою К</w:t>
      </w:r>
      <w:r w:rsidR="00680B32">
        <w:rPr>
          <w:rFonts w:ascii="Times New Roman" w:hAnsi="Times New Roman"/>
          <w:sz w:val="24"/>
          <w:szCs w:val="24"/>
        </w:rPr>
        <w:t>абінету Міністрів України від 23.01.2019р. № 43</w:t>
      </w:r>
      <w:r w:rsidR="00680B32" w:rsidRPr="00345B58">
        <w:rPr>
          <w:rFonts w:ascii="Times New Roman" w:hAnsi="Times New Roman"/>
          <w:sz w:val="24"/>
          <w:szCs w:val="24"/>
        </w:rPr>
        <w:t xml:space="preserve"> «Про внесення змін </w:t>
      </w:r>
      <w:r w:rsidR="00680B32">
        <w:rPr>
          <w:rFonts w:ascii="Times New Roman" w:hAnsi="Times New Roman"/>
          <w:sz w:val="24"/>
          <w:szCs w:val="24"/>
        </w:rPr>
        <w:t xml:space="preserve">до деяких постанов Кабінету Міністрів  України від 01.08.2013р. № 573 «Про затвердження </w:t>
      </w:r>
      <w:r w:rsidR="00680B32" w:rsidRPr="00345B58">
        <w:rPr>
          <w:rFonts w:ascii="Times New Roman" w:hAnsi="Times New Roman"/>
          <w:sz w:val="24"/>
          <w:szCs w:val="24"/>
        </w:rPr>
        <w:t xml:space="preserve"> Загального положення про центр соціальних служ</w:t>
      </w:r>
      <w:r w:rsidR="00680B32">
        <w:rPr>
          <w:rFonts w:ascii="Times New Roman" w:hAnsi="Times New Roman"/>
          <w:sz w:val="24"/>
          <w:szCs w:val="24"/>
        </w:rPr>
        <w:t>б</w:t>
      </w:r>
      <w:r w:rsidR="00680B32" w:rsidRPr="00345B58">
        <w:rPr>
          <w:rFonts w:ascii="Times New Roman" w:hAnsi="Times New Roman"/>
          <w:sz w:val="24"/>
          <w:szCs w:val="24"/>
        </w:rPr>
        <w:t xml:space="preserve"> для сім’ї, дітей та молоді»</w:t>
      </w:r>
      <w:r w:rsidR="00680B32">
        <w:rPr>
          <w:rFonts w:ascii="Times New Roman" w:hAnsi="Times New Roman"/>
          <w:sz w:val="24"/>
          <w:szCs w:val="24"/>
        </w:rPr>
        <w:t>»</w:t>
      </w:r>
      <w:r w:rsidR="00680B32" w:rsidRPr="00345B58">
        <w:rPr>
          <w:rFonts w:ascii="Times New Roman" w:hAnsi="Times New Roman"/>
          <w:sz w:val="24"/>
          <w:szCs w:val="24"/>
        </w:rPr>
        <w:t xml:space="preserve"> для приведення у відповідність до Загального положення, </w:t>
      </w:r>
      <w:proofErr w:type="spellStart"/>
      <w:r w:rsidR="00680B32" w:rsidRPr="00345B58">
        <w:rPr>
          <w:rFonts w:ascii="Times New Roman" w:hAnsi="Times New Roman"/>
          <w:sz w:val="24"/>
          <w:szCs w:val="24"/>
        </w:rPr>
        <w:t>Сєвєродонецька</w:t>
      </w:r>
      <w:proofErr w:type="spellEnd"/>
      <w:r w:rsidR="00680B32" w:rsidRPr="00345B58">
        <w:rPr>
          <w:rFonts w:ascii="Times New Roman" w:hAnsi="Times New Roman"/>
          <w:sz w:val="24"/>
          <w:szCs w:val="24"/>
        </w:rPr>
        <w:t xml:space="preserve"> міська рада</w:t>
      </w:r>
    </w:p>
    <w:p w:rsidR="00680B32" w:rsidRDefault="00680B32" w:rsidP="00680B32">
      <w:pPr>
        <w:pStyle w:val="a6"/>
      </w:pPr>
    </w:p>
    <w:p w:rsidR="00680B32" w:rsidRPr="00AC0260" w:rsidRDefault="00680B32" w:rsidP="00680B32">
      <w:pPr>
        <w:pStyle w:val="a6"/>
      </w:pPr>
    </w:p>
    <w:p w:rsidR="00680B32" w:rsidRPr="0016375A" w:rsidRDefault="00680B32" w:rsidP="00680B32">
      <w:pPr>
        <w:spacing w:after="0" w:line="480" w:lineRule="auto"/>
        <w:jc w:val="both"/>
        <w:rPr>
          <w:rFonts w:ascii="Times New Roman" w:hAnsi="Times New Roman"/>
          <w:b/>
          <w:bCs/>
        </w:rPr>
      </w:pPr>
      <w:r w:rsidRPr="0016375A">
        <w:rPr>
          <w:rFonts w:ascii="Times New Roman" w:hAnsi="Times New Roman"/>
          <w:b/>
          <w:bCs/>
        </w:rPr>
        <w:t>ВИРIШИЛА:</w:t>
      </w:r>
    </w:p>
    <w:p w:rsidR="00680B32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353EA">
        <w:rPr>
          <w:rFonts w:ascii="Times New Roman" w:hAnsi="Times New Roman"/>
          <w:sz w:val="24"/>
          <w:szCs w:val="24"/>
        </w:rPr>
        <w:t>1</w:t>
      </w:r>
      <w:r w:rsidR="00680B32">
        <w:rPr>
          <w:rFonts w:ascii="Times New Roman" w:hAnsi="Times New Roman"/>
          <w:sz w:val="24"/>
          <w:szCs w:val="24"/>
        </w:rPr>
        <w:t xml:space="preserve"> Затвердити  «Положення </w:t>
      </w:r>
      <w:r w:rsidR="00680B32" w:rsidRPr="00345B5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680B32" w:rsidRPr="00345B58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="00680B32" w:rsidRPr="00345B58">
        <w:rPr>
          <w:rFonts w:ascii="Times New Roman" w:hAnsi="Times New Roman"/>
          <w:sz w:val="24"/>
          <w:szCs w:val="24"/>
        </w:rPr>
        <w:t xml:space="preserve"> міський Центр соціальних служб для сім’ї, дітей та молоді</w:t>
      </w:r>
      <w:r w:rsidR="00680B32">
        <w:rPr>
          <w:rFonts w:ascii="Times New Roman" w:hAnsi="Times New Roman"/>
          <w:sz w:val="24"/>
          <w:szCs w:val="24"/>
        </w:rPr>
        <w:t>»  в новій редакцій (додається</w:t>
      </w:r>
      <w:r w:rsidR="00680B32" w:rsidRPr="00345B58">
        <w:rPr>
          <w:rFonts w:ascii="Times New Roman" w:hAnsi="Times New Roman"/>
          <w:sz w:val="24"/>
          <w:szCs w:val="24"/>
        </w:rPr>
        <w:t>).</w:t>
      </w:r>
    </w:p>
    <w:p w:rsidR="00680B32" w:rsidRPr="00E50EBB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80B32">
        <w:rPr>
          <w:rFonts w:ascii="Times New Roman" w:hAnsi="Times New Roman"/>
          <w:sz w:val="24"/>
          <w:szCs w:val="24"/>
        </w:rPr>
        <w:t>2</w:t>
      </w:r>
      <w:r w:rsidR="005353EA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 xml:space="preserve">Скасувати «Положення про </w:t>
      </w:r>
      <w:proofErr w:type="spellStart"/>
      <w:r w:rsidR="00680B32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="00680B32">
        <w:rPr>
          <w:rFonts w:ascii="Times New Roman" w:hAnsi="Times New Roman"/>
          <w:sz w:val="24"/>
          <w:szCs w:val="24"/>
        </w:rPr>
        <w:t xml:space="preserve"> міський Центр соціальних служб для сім’ї, дітей та молоді», затвердженого рішенням 77 сесії </w:t>
      </w:r>
      <w:proofErr w:type="spellStart"/>
      <w:r w:rsidR="00680B32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="00680B32">
        <w:rPr>
          <w:rFonts w:ascii="Times New Roman" w:hAnsi="Times New Roman"/>
          <w:sz w:val="24"/>
          <w:szCs w:val="24"/>
        </w:rPr>
        <w:t xml:space="preserve"> міської ради </w:t>
      </w:r>
      <w:r w:rsidR="00680B32">
        <w:rPr>
          <w:rFonts w:ascii="Times New Roman" w:hAnsi="Times New Roman"/>
          <w:sz w:val="24"/>
          <w:szCs w:val="24"/>
          <w:lang w:val="en-US"/>
        </w:rPr>
        <w:t>V</w:t>
      </w:r>
      <w:r w:rsidR="00680B32">
        <w:rPr>
          <w:rFonts w:ascii="Times New Roman" w:hAnsi="Times New Roman"/>
          <w:sz w:val="24"/>
          <w:szCs w:val="24"/>
        </w:rPr>
        <w:t>І</w:t>
      </w:r>
      <w:r w:rsidR="00680B32" w:rsidRPr="00E50EBB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>скликання від 26.12.2013р. № 3317.</w:t>
      </w:r>
    </w:p>
    <w:p w:rsidR="00680B32" w:rsidRPr="00345B58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</w:t>
      </w:r>
      <w:r w:rsidR="005353EA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680B32" w:rsidRPr="00345B58" w:rsidRDefault="003C710E" w:rsidP="00253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680B32" w:rsidRPr="00345B58">
        <w:rPr>
          <w:rFonts w:ascii="Times New Roman" w:hAnsi="Times New Roman"/>
          <w:sz w:val="24"/>
          <w:szCs w:val="24"/>
        </w:rPr>
        <w:t xml:space="preserve"> Контроль за виконанням цього рішення покласти на постійну комісію з питань охорони здоров’я та соціального захисту</w:t>
      </w:r>
      <w:r w:rsidR="00680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0B32" w:rsidRPr="0096084B">
        <w:rPr>
          <w:rFonts w:ascii="Times New Roman" w:hAnsi="Times New Roman"/>
          <w:sz w:val="24"/>
          <w:szCs w:val="24"/>
        </w:rPr>
        <w:t>населення</w:t>
      </w:r>
      <w:r w:rsidR="00253711">
        <w:rPr>
          <w:rFonts w:ascii="Times New Roman" w:eastAsia="Times New Roman" w:hAnsi="Times New Roman"/>
          <w:sz w:val="24"/>
          <w:szCs w:val="24"/>
          <w:lang w:eastAsia="ru-RU"/>
        </w:rPr>
        <w:t>, освіти, культури, духовності, фізкультури, спорту, молодіжної політики.</w:t>
      </w:r>
      <w:r w:rsidR="00680B32" w:rsidRPr="00345B58">
        <w:rPr>
          <w:rFonts w:ascii="Times New Roman" w:hAnsi="Times New Roman"/>
          <w:sz w:val="24"/>
          <w:szCs w:val="24"/>
        </w:rPr>
        <w:t xml:space="preserve"> </w:t>
      </w:r>
    </w:p>
    <w:p w:rsidR="00680B32" w:rsidRDefault="00680B32" w:rsidP="00253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5B58">
        <w:rPr>
          <w:rFonts w:ascii="Times New Roman" w:hAnsi="Times New Roman"/>
          <w:sz w:val="24"/>
          <w:szCs w:val="24"/>
        </w:rPr>
        <w:t xml:space="preserve"> </w:t>
      </w:r>
    </w:p>
    <w:p w:rsidR="00680B32" w:rsidRDefault="00680B32" w:rsidP="00680B32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 ради, </w:t>
      </w:r>
    </w:p>
    <w:p w:rsidR="00680B32" w:rsidRDefault="00680B32" w:rsidP="005353EA">
      <w:pPr>
        <w:pStyle w:val="2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міського голови</w:t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>В.П.Ткачук</w:t>
      </w:r>
      <w:r w:rsidR="005353EA">
        <w:rPr>
          <w:rFonts w:ascii="Times New Roman" w:hAnsi="Times New Roman"/>
          <w:b/>
          <w:sz w:val="24"/>
          <w:szCs w:val="24"/>
        </w:rPr>
        <w:tab/>
      </w:r>
    </w:p>
    <w:p w:rsidR="00680B32" w:rsidRDefault="00680B32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0429C" w:rsidRDefault="00D042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902D14" w:rsidRDefault="00D042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Додаток </w:t>
      </w:r>
    </w:p>
    <w:p w:rsidR="00902D14" w:rsidRPr="002D6BA9" w:rsidRDefault="00D042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B06F9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</w:t>
      </w:r>
      <w:r w:rsidR="002D6BA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о рішення </w:t>
      </w:r>
      <w:r w:rsid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63 - </w:t>
      </w:r>
      <w:proofErr w:type="spellStart"/>
      <w:r w:rsid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ої</w:t>
      </w:r>
      <w:proofErr w:type="spellEnd"/>
    </w:p>
    <w:p w:rsidR="00902D14" w:rsidRDefault="00D042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(позачергової)</w:t>
      </w:r>
      <w:r w:rsidR="002056DA" w:rsidRP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сесії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міської ради</w:t>
      </w:r>
    </w:p>
    <w:p w:rsidR="00902D14" w:rsidRPr="00902D14" w:rsidRDefault="00D042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 10.05.</w:t>
      </w:r>
      <w:r w:rsidR="00242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2019</w:t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р.</w:t>
      </w:r>
      <w:r w:rsidR="002056D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3562</w:t>
      </w:r>
    </w:p>
    <w:p w:rsidR="00902D14" w:rsidRDefault="00902D14" w:rsidP="003B0F8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C96845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  <w:t>Положення</w:t>
      </w:r>
    </w:p>
    <w:p w:rsidR="00EB6846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  <w:t xml:space="preserve"> </w:t>
      </w:r>
    </w:p>
    <w:p w:rsidR="00902D14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>про Сєвєродонецький міський</w:t>
      </w:r>
    </w:p>
    <w:p w:rsid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 xml:space="preserve">Центр соціальних служб </w:t>
      </w:r>
    </w:p>
    <w:p w:rsidR="00902D14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>для сім’ї, дітей та молоді</w:t>
      </w:r>
    </w:p>
    <w:p w:rsidR="00902D14" w:rsidRPr="00C6383E" w:rsidRDefault="00C6383E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36"/>
          <w:szCs w:val="36"/>
          <w:lang w:eastAsia="uk-UA"/>
        </w:rPr>
      </w:pPr>
      <w:r w:rsidRPr="00C6383E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(нова редакція)</w:t>
      </w: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B36842" w:rsidRDefault="00B36842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P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2421DC" w:rsidRDefault="002421DC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n12"/>
      <w:bookmarkEnd w:id="0"/>
    </w:p>
    <w:p w:rsidR="002421DC" w:rsidRDefault="002421DC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6944" w:rsidRDefault="0087694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Сєвєродонецький  міський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Центр соціальних служб для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сім’ї, дітей та молоді</w:t>
      </w:r>
      <w:r w:rsidR="00F86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скорочена назва СМЦСССДМ,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(далі -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ентр) - спеціальний заклад, що проводить соціальну роботу з сім’ями, дітьми та молоддю, які перебувають у складних життєвих обставинах та потребують сторонньої допомоги.</w:t>
      </w:r>
    </w:p>
    <w:p w:rsidR="00EB6846" w:rsidRPr="00A314B4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n13"/>
      <w:bookmarkStart w:id="2" w:name="n112"/>
      <w:bookmarkEnd w:id="1"/>
      <w:bookmarkEnd w:id="2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Міський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 утворюється, реорганіз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ується та ліквідується Сєвєродонецькою міською радою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належить до сфери його управління.</w:t>
      </w:r>
    </w:p>
    <w:p w:rsidR="00240862" w:rsidRDefault="00240862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n111"/>
      <w:bookmarkStart w:id="4" w:name="n14"/>
      <w:bookmarkEnd w:id="3"/>
      <w:bookmarkEnd w:id="4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EB6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іяльність Ц</w:t>
      </w:r>
      <w:r w:rsidR="00F86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ентру спрямовується Відділом молоді та спорту 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Сєвєродонецької 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міської ради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B6846" w:rsidRPr="00A314B4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n114"/>
      <w:bookmarkEnd w:id="5"/>
    </w:p>
    <w:p w:rsidR="005D6FC2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n113"/>
      <w:bookmarkStart w:id="7" w:name="n15"/>
      <w:bookmarkEnd w:id="6"/>
      <w:bookmarkEnd w:id="7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Центр у своїй діяльності керується </w:t>
      </w:r>
      <w:hyperlink r:id="rId4" w:anchor="n1654" w:tgtFrame="_blank" w:history="1">
        <w:r w:rsidRPr="00A314B4">
          <w:rPr>
            <w:rFonts w:ascii="Times New Roman" w:eastAsia="Times New Roman" w:hAnsi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Конституцією</w:t>
        </w:r>
      </w:hyperlink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та законами України, актами Президента України і Кабінету Міністрів України, наказами Мінсоцполітики,</w:t>
      </w:r>
      <w:r w:rsidR="002408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іншими нормативно-правовими актами з питань сім’ї, дітей та молоді,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рішеннями міської ради та її виконавчого комітету,</w:t>
      </w:r>
      <w:r w:rsidR="002408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Загальними положеннями про центр соціальних служб для сім’ї, дітей та молоді,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також цим </w:t>
      </w:r>
      <w:bookmarkStart w:id="8" w:name="n16"/>
      <w:bookmarkEnd w:id="8"/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Положенням.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Основними принципами діяльності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міського 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є:</w:t>
      </w:r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n17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законність;</w:t>
      </w:r>
    </w:p>
    <w:p w:rsidR="00240862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n18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соціальна справедливість;</w:t>
      </w:r>
      <w:bookmarkStart w:id="11" w:name="n19"/>
      <w:bookmarkStart w:id="12" w:name="n20"/>
      <w:bookmarkEnd w:id="11"/>
      <w:bookmarkEnd w:id="12"/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 та відкритість;</w:t>
      </w:r>
    </w:p>
    <w:p w:rsidR="0064402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3" w:name="n21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конфіденційність та відповідальність за дотримання етичних і правових норм;</w:t>
      </w:r>
    </w:p>
    <w:p w:rsidR="0064402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4" w:name="n22"/>
      <w:bookmarkEnd w:id="1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додержання і захист прав людини;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5" w:name="n23"/>
      <w:bookmarkEnd w:id="1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адресність та індивідуальний підхід;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6" w:name="n24"/>
      <w:bookmarkEnd w:id="1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добровільність вибору в отриманні чи відмові від отримання соціальних послуг;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7" w:name="n25"/>
      <w:bookmarkEnd w:id="1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комплексність та системність під час надання соціальних послуг;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8" w:name="n26"/>
      <w:bookmarkEnd w:id="1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дотримання державних стандартів і нормативів соціальних послуг;</w:t>
      </w:r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9" w:name="n27"/>
      <w:bookmarkEnd w:id="1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максимальна ефективність використання бюджетних та позабюджетних коштів.</w:t>
      </w:r>
    </w:p>
    <w:p w:rsidR="00EB6846" w:rsidRDefault="00EB6846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0" w:name="n28"/>
      <w:bookmarkEnd w:id="20"/>
    </w:p>
    <w:p w:rsidR="00240862" w:rsidRPr="00A314B4" w:rsidRDefault="00644024" w:rsidP="00B0720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bookmarkStart w:id="21" w:name="n34"/>
      <w:bookmarkEnd w:id="21"/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 завданнями міського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є:</w:t>
      </w: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2" w:name="n126"/>
      <w:bookmarkEnd w:id="2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проведення соціально-профілактичної роботи, спрямованої на запобігання потраплянню в складні життєві обставини сімей, дітей та молоді;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3" w:name="n127"/>
      <w:bookmarkEnd w:id="2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виявлення сімей, дітей та молоді, які перебувають у складних життєвих обставинах і потребують сторонньої допомоги;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4" w:name="n128"/>
      <w:bookmarkEnd w:id="2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здійснення соціального супроводу сімей, дітей та молоді, які перебувають у складних життєвих обставинах і потребують сторонньої допомоги, надання їм соціальних послуг за результатами проведеної оцінки потреб їх у таких послугах;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5" w:name="n148"/>
      <w:bookmarkEnd w:id="2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організація здійснення наставництва над дитиною, яка проживає у закладах для дітей-сиріт і дітей, позбавлених батьківського піклування, іншому закладі для дітей;</w:t>
      </w:r>
      <w:bookmarkStart w:id="26" w:name="n147"/>
      <w:bookmarkEnd w:id="26"/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EB6846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7" w:name="n129"/>
      <w:bookmarkEnd w:id="2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забезпечення взаємодії і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структурними підрозділами виконавчого комітету міської ради,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підприємствами, установами та організаціями, а також залучення потенціалу територіальної громади до проведення соціальної роботи із сім’ями, дітьми та молоддю.</w:t>
      </w:r>
    </w:p>
    <w:p w:rsidR="00644024" w:rsidRPr="00A314B4" w:rsidRDefault="00644024" w:rsidP="00DD4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8" w:name="n125"/>
      <w:bookmarkEnd w:id="28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9" w:name="n40"/>
      <w:bookmarkEnd w:id="2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6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30" w:name="n49"/>
      <w:bookmarkEnd w:id="30"/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Міський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відповідно до покладених на нього завдань: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Pr="00A314B4" w:rsidRDefault="00644024" w:rsidP="00B0720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1" w:name="n151"/>
      <w:bookmarkEnd w:id="31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здійснює заходи щодо:</w:t>
      </w: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2" w:name="n152"/>
      <w:bookmarkEnd w:id="3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виявлення та обліку сімей, дітей та молоді, які перебувають у складних життєвих обставинах і потребують сторонньої допомоги;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3" w:name="n153"/>
      <w:bookmarkEnd w:id="3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контролю у межах повноважень за цільовим використанням державної допомоги при народженні дитини;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7E9B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4" w:name="n154"/>
      <w:bookmarkEnd w:id="3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здійснення наставництва;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5" w:name="n155"/>
      <w:bookmarkEnd w:id="3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супроводження прийомних сімей і дитячих будинків сімейного типу, а також соціального супроводу дітей, які перебувають під опікою, піклуванням, за поданням служби у справах дітей;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6" w:name="n156"/>
      <w:bookmarkEnd w:id="3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інформування населення про соціальні послуги, які надаються відповідно до законодавства;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7C4789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надання особам, які постраждали від домашнього насильства та особам, які постраждали від насильства за ознакою статі, вичерпної інформації про їх права та можливість отримання допомоги;</w:t>
      </w:r>
    </w:p>
    <w:p w:rsidR="007C4789" w:rsidRPr="00A314B4" w:rsidRDefault="007C4789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7" w:name="n157"/>
      <w:bookmarkEnd w:id="37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проводить оцінку потреб сімей, дітей та молоді, які перебувають у складних життєвих обставинах і потребують сторонньої допомоги, у тому числі сімей учасник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ів антитерористичної операції,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внутрішньо переміщених осіб, 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осіб які постраждали від домашнього насильства та осіб, які постраждали від насильства за ознакою статі,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визначає соціальні послуги та методи соціальної роботи, забезпечує психологічну підтримку;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8" w:name="n158"/>
      <w:bookmarkEnd w:id="38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надає сім’ям, дітям і молоді, які перебувають у складних життєвих обставинах і потребують сторонньої допомоги, в тому числі сім’ям учасник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ів антитерористичної операції,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внутрішньо переміщеним особам,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особам, які постраждали від домашнього насильства та особам, які постраждали від насильства за ознакою статі,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соціальні послуги з: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Pr="00A314B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9" w:name="n159"/>
      <w:bookmarkEnd w:id="3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супроводу;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0" w:name="n160"/>
      <w:bookmarkEnd w:id="40"/>
    </w:p>
    <w:p w:rsidR="0064402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консультування;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1" w:name="n161"/>
      <w:bookmarkEnd w:id="41"/>
    </w:p>
    <w:p w:rsidR="00644024" w:rsidRPr="00A314B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профілактики.</w:t>
      </w:r>
    </w:p>
    <w:p w:rsidR="00EB6846" w:rsidRDefault="00EB6846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2" w:name="n162"/>
      <w:bookmarkEnd w:id="42"/>
    </w:p>
    <w:p w:rsidR="00644024" w:rsidRDefault="005D6FC2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результатами оцінки потреб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надає послуги з: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Pr="00A314B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3" w:name="n163"/>
      <w:bookmarkEnd w:id="4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інтеграції та реінтеграції;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4" w:name="n164"/>
      <w:bookmarkEnd w:id="44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адаптації;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5" w:name="n165"/>
      <w:bookmarkEnd w:id="45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супроводу сімей, в яких виховуються діти-сироти і діти, позбавлені батьківського піклування;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6" w:name="n166"/>
      <w:bookmarkEnd w:id="46"/>
    </w:p>
    <w:p w:rsidR="00DD43D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кризового та екстреного втручання;</w:t>
      </w:r>
      <w:bookmarkStart w:id="47" w:name="n167"/>
      <w:bookmarkEnd w:id="47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представництва інтересів;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8" w:name="n168"/>
      <w:bookmarkEnd w:id="48"/>
    </w:p>
    <w:p w:rsidR="00644024" w:rsidRPr="00A314B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посередництва (медіації);</w:t>
      </w:r>
    </w:p>
    <w:p w:rsidR="00EB6846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9" w:name="n169"/>
      <w:bookmarkEnd w:id="49"/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забезпечує соціальний патронаж молодих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 на підставах, передбачених законом, за повідомленням виконавчого </w:t>
      </w:r>
      <w:r w:rsidR="00D73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органу міської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0" w:name="n170"/>
      <w:bookmarkEnd w:id="50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складає план реабілітації особи, яка постраждала від торгівлі людьми;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1" w:name="n171"/>
      <w:bookmarkEnd w:id="51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впроваджує новітні соціальні технології, спрямовані на недопущення, мінімізацію чи подолання складних життєвих обставин (у тому числі щодо патронату над дитиною);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2" w:name="n172"/>
      <w:bookmarkEnd w:id="52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узагальнює на місцевому рівні статистичні дані та готує інформаційно-аналітичні матеріали стосовно проведеної соціальної роботи, які подає регіональному центру та органу, який його утворив;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3" w:name="n173"/>
      <w:bookmarkEnd w:id="53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співпрацює з місцевими органами виконавчої влади, органами місцевого самоврядування, навчальними закладами, закладами охорони здоров’я, територіальними структурними підрозділами Національної поліції.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4" w:name="n131"/>
      <w:bookmarkStart w:id="55" w:name="n73"/>
      <w:bookmarkEnd w:id="54"/>
      <w:bookmarkEnd w:id="55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має право: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6" w:name="n74"/>
      <w:bookmarkEnd w:id="5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вносити </w:t>
      </w:r>
      <w:r w:rsidR="00B878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Мінсоцполітики, міському органу виконавчої влади та органу місцевого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878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самоврядування 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пропозиції щодо вдосконалення соціальної роботи з сім’ями, дітьми та молоддю;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7" w:name="n75"/>
      <w:bookmarkEnd w:id="57"/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подавати пропозиції до проектів відповідних місцевих бюджетів з питань, що належать до їх компетенції;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8" w:name="n76"/>
      <w:bookmarkEnd w:id="58"/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укладати в установленому порядку договори з підприємствами, установами та організаціями (в тому числі іноземними) щодо проведення робіт, спрямованих на виконання покладених на нього завдань;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9" w:name="n77"/>
      <w:bookmarkEnd w:id="59"/>
    </w:p>
    <w:p w:rsidR="0064402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залучати фахівців інших закладів, установ та організацій різних форм власності для здійснення соціального супроводу сімей, які перебувають у складних життєвих обставинах; в установленому порядку одержувати від підприємств, установ та організацій інформацію з питань, що належать до його компетенції;</w:t>
      </w:r>
    </w:p>
    <w:p w:rsidR="000B7E9B" w:rsidRPr="00A314B4" w:rsidRDefault="000B7E9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0" w:name="n78"/>
      <w:bookmarkEnd w:id="6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вживати заходів для забезпечення захисту прав, свобод і законних і</w:t>
      </w:r>
      <w:r w:rsidR="00E80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нтересів сімей, дітей та молоді;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004F" w:rsidRPr="00A314B4" w:rsidRDefault="00E8004F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утворювати спеціалізовані служби підтримки осіб, які постраждали від домашнього насильства за ознакою статі, зокрема мобільні бригади соціаль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ихологічної доп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моги, притулки у</w:t>
      </w:r>
      <w:r w:rsidR="0024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формі структурних підрозділів 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1" w:name="n79"/>
      <w:bookmarkEnd w:id="61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2" w:name="n80"/>
      <w:bookmarkEnd w:id="6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очолює директор, який призначається на посаду і звільняється з посади в установ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леному порядку міським головою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 повноважень якого належить утворення, реорганізація та ліквідація центру.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3" w:name="n81"/>
      <w:bookmarkStart w:id="64" w:name="n82"/>
      <w:bookmarkStart w:id="65" w:name="n143"/>
      <w:bookmarkStart w:id="66" w:name="n83"/>
      <w:bookmarkEnd w:id="63"/>
      <w:bookmarkEnd w:id="64"/>
      <w:bookmarkEnd w:id="65"/>
      <w:bookmarkEnd w:id="6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Директор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ентру: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7" w:name="n84"/>
      <w:bookmarkEnd w:id="6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здійснює з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агальне керівництво діяльністю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ентру, несе персональну відповідальні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 за виконання покладених на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завдань, законність прийнятих ним рішень;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8" w:name="n85"/>
      <w:bookmarkEnd w:id="68"/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 в устано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вленому порядку штатний розпис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в межах граничної чисельності працівників та фонду оплати праці відповідно до типової структури і штатів, що затверджуються Мінсоцполітики;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69" w:name="n144"/>
      <w:bookmarkStart w:id="70" w:name="n86"/>
      <w:bookmarkEnd w:id="69"/>
      <w:bookmarkEnd w:id="70"/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87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644024" w:rsidRP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затверджує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ення про структурні підрозділи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та посадові інструкції його працівників;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1" w:name="n87"/>
      <w:bookmarkEnd w:id="71"/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видає в межах своїх повноважень накази організаційно-розпорядчого характеру, організовує і контролює їх виконання;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2" w:name="n88"/>
      <w:bookmarkEnd w:id="7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редставляє Центр у відносинах з  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органами місцевого самоврядування, підприємствами, установами та організаціями;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3" w:name="n89"/>
      <w:bookmarkEnd w:id="7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особистий прийом громадян з пита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нь, що належать до компетенції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0B7E9B" w:rsidRDefault="000B7E9B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4" w:name="n90"/>
      <w:bookmarkEnd w:id="74"/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розпоряджається в установл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еному порядку майном і коштами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5" w:name="n91"/>
      <w:bookmarkEnd w:id="7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-утворює 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ентрі атестаційну комісію, сприяє підви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щенню кваліфікації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6" w:name="n92"/>
      <w:bookmarkEnd w:id="7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призначає на посаду та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звільняє з посади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7" w:name="n93"/>
      <w:bookmarkEnd w:id="7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приймає рішення щодо заохочення та притягнення до дисциплінарно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 відповідальності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ентру.</w:t>
      </w:r>
    </w:p>
    <w:p w:rsidR="00EB6846" w:rsidRDefault="00EB6846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8" w:name="n94"/>
      <w:bookmarkEnd w:id="78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Діяльність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фінансується за рахунок коштів місцевих бюджетів та інших джерел, не заборонених законодавством.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9" w:name="n95"/>
      <w:bookmarkEnd w:id="79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 надає послуги на безоплатній основі.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0" w:name="n96"/>
      <w:bookmarkEnd w:id="80"/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Умови оплати праці, типова 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і штатна чисельність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затверджуються Мінсоцпол</w:t>
      </w:r>
      <w:r w:rsidR="000B7E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ітики за погодженням з Мінфіном та рекомендовані органу місцевого самоврядування.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1" w:name="n97"/>
      <w:bookmarkEnd w:id="81"/>
    </w:p>
    <w:p w:rsidR="00D93B2C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Центр є юридичною особою, має самостійний баланс, відповідні рахунки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управлінні Державної казначейської служби України у м.Сєвєродонецьку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печатку т</w:t>
      </w:r>
      <w:r w:rsidR="008769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бланк із своїм найменуванням.</w:t>
      </w:r>
    </w:p>
    <w:p w:rsidR="00D93B2C" w:rsidRDefault="00D93B2C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2441" w:rsidRPr="00A314B4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у своїй діяльності забезпечує дотримання вимог </w:t>
      </w:r>
      <w:hyperlink r:id="rId5" w:tgtFrame="_blank" w:history="1">
        <w:r w:rsidRPr="00A314B4">
          <w:rPr>
            <w:rFonts w:ascii="Times New Roman" w:eastAsia="Times New Roman" w:hAnsi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Закону України</w:t>
        </w:r>
      </w:hyperlink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“Про захист персональних даних”.</w:t>
      </w:r>
    </w:p>
    <w:p w:rsidR="00292441" w:rsidRPr="00A314B4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2441" w:rsidRPr="00F86DFB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Секретар ради                                                                                                 В.П. Ткачук</w:t>
      </w:r>
    </w:p>
    <w:sectPr w:rsidR="00292441" w:rsidRPr="00F86DFB" w:rsidSect="00D0429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E6611"/>
    <w:rsid w:val="000223B3"/>
    <w:rsid w:val="00023AA2"/>
    <w:rsid w:val="00053FC8"/>
    <w:rsid w:val="0006787D"/>
    <w:rsid w:val="000B7E9B"/>
    <w:rsid w:val="001E3DE0"/>
    <w:rsid w:val="001F4476"/>
    <w:rsid w:val="002056DA"/>
    <w:rsid w:val="002141A2"/>
    <w:rsid w:val="00240237"/>
    <w:rsid w:val="00240862"/>
    <w:rsid w:val="002421DC"/>
    <w:rsid w:val="00253711"/>
    <w:rsid w:val="00254A0D"/>
    <w:rsid w:val="00292441"/>
    <w:rsid w:val="002A69DE"/>
    <w:rsid w:val="002D6BA9"/>
    <w:rsid w:val="00350DE6"/>
    <w:rsid w:val="003B0F8C"/>
    <w:rsid w:val="003C710E"/>
    <w:rsid w:val="003C7B90"/>
    <w:rsid w:val="00482EBF"/>
    <w:rsid w:val="00487077"/>
    <w:rsid w:val="004B3DC1"/>
    <w:rsid w:val="0050662F"/>
    <w:rsid w:val="0051232B"/>
    <w:rsid w:val="005353EA"/>
    <w:rsid w:val="005D6FC2"/>
    <w:rsid w:val="00644024"/>
    <w:rsid w:val="00680B32"/>
    <w:rsid w:val="007932A4"/>
    <w:rsid w:val="007979CE"/>
    <w:rsid w:val="007C0DB8"/>
    <w:rsid w:val="007C4789"/>
    <w:rsid w:val="00854421"/>
    <w:rsid w:val="00876944"/>
    <w:rsid w:val="008A210E"/>
    <w:rsid w:val="008E0225"/>
    <w:rsid w:val="008E6611"/>
    <w:rsid w:val="00902D14"/>
    <w:rsid w:val="009650E1"/>
    <w:rsid w:val="009B3C5A"/>
    <w:rsid w:val="009C311D"/>
    <w:rsid w:val="009C3331"/>
    <w:rsid w:val="00A51F24"/>
    <w:rsid w:val="00A87922"/>
    <w:rsid w:val="00AA03FB"/>
    <w:rsid w:val="00B06F9C"/>
    <w:rsid w:val="00B0720B"/>
    <w:rsid w:val="00B36842"/>
    <w:rsid w:val="00B878A7"/>
    <w:rsid w:val="00C074A2"/>
    <w:rsid w:val="00C6383E"/>
    <w:rsid w:val="00C96845"/>
    <w:rsid w:val="00CF2EE1"/>
    <w:rsid w:val="00D0429C"/>
    <w:rsid w:val="00D13B5D"/>
    <w:rsid w:val="00D63647"/>
    <w:rsid w:val="00D73713"/>
    <w:rsid w:val="00D93B2C"/>
    <w:rsid w:val="00DD43D4"/>
    <w:rsid w:val="00E52D03"/>
    <w:rsid w:val="00E8004F"/>
    <w:rsid w:val="00EB6846"/>
    <w:rsid w:val="00EC28B1"/>
    <w:rsid w:val="00F1179D"/>
    <w:rsid w:val="00F86DFB"/>
    <w:rsid w:val="00FB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F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650E1"/>
    <w:rPr>
      <w:rFonts w:ascii="Tahoma" w:hAnsi="Tahoma" w:cs="Tahoma"/>
      <w:sz w:val="16"/>
      <w:szCs w:val="16"/>
      <w:lang w:val="uk-UA" w:eastAsia="en-US"/>
    </w:rPr>
  </w:style>
  <w:style w:type="paragraph" w:styleId="a6">
    <w:name w:val="Body Text Indent"/>
    <w:basedOn w:val="a"/>
    <w:link w:val="a7"/>
    <w:semiHidden/>
    <w:unhideWhenUsed/>
    <w:rsid w:val="00680B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680B32"/>
    <w:rPr>
      <w:sz w:val="24"/>
      <w:szCs w:val="24"/>
      <w:lang w:eastAsia="ru-RU" w:bidi="ar-SA"/>
    </w:rPr>
  </w:style>
  <w:style w:type="paragraph" w:styleId="2">
    <w:name w:val="Body Text Indent 2"/>
    <w:basedOn w:val="a"/>
    <w:semiHidden/>
    <w:unhideWhenUsed/>
    <w:rsid w:val="00680B32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297-17" TargetMode="External"/><Relationship Id="rId4" Type="http://schemas.openxmlformats.org/officeDocument/2006/relationships/hyperlink" Target="http://zakon5.rada.gov.ua/laws/show/254%D0%BA/96-%D0%B2%D1%80/paran1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6774</Words>
  <Characters>3862</Characters>
  <Application>Microsoft Office Word</Application>
  <DocSecurity>0</DocSecurity>
  <Lines>32</Lines>
  <Paragraphs>21</Paragraphs>
  <ScaleCrop>false</ScaleCrop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userTer0957</cp:lastModifiedBy>
  <cp:revision>5</cp:revision>
  <cp:lastPrinted>2019-05-08T05:44:00Z</cp:lastPrinted>
  <dcterms:created xsi:type="dcterms:W3CDTF">2019-05-08T05:45:00Z</dcterms:created>
  <dcterms:modified xsi:type="dcterms:W3CDTF">2019-05-13T05:44:00Z</dcterms:modified>
</cp:coreProperties>
</file>