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F55277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Сорок перша (чергова)</w:t>
      </w:r>
      <w:r w:rsidR="00CE2257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F55277">
        <w:rPr>
          <w:rFonts w:ascii="Times New Roman" w:hAnsi="Times New Roman" w:cs="Times New Roman"/>
          <w:sz w:val="28"/>
          <w:lang w:val="uk-UA"/>
        </w:rPr>
        <w:t xml:space="preserve"> 2408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F55277">
        <w:rPr>
          <w:b/>
          <w:bCs/>
          <w:lang w:val="uk-UA"/>
        </w:rPr>
        <w:t>06 березня</w:t>
      </w:r>
      <w:r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30.01.2018 року № 2139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30.01.2018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2139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«Сєвєродонецькі теплові мережі»</w:t>
      </w:r>
      <w:r>
        <w:rPr>
          <w:lang w:val="uk-UA"/>
        </w:rPr>
        <w:t xml:space="preserve"> у редакції:</w:t>
      </w:r>
    </w:p>
    <w:p w:rsidR="00D614E1" w:rsidRDefault="005F7C09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AC7B84"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E14AD2" w:rsidRPr="005D3A94">
        <w:rPr>
          <w:i/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E14AD2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 w:rsidR="00E14AD2">
        <w:rPr>
          <w:lang w:val="uk-UA"/>
        </w:rPr>
        <w:t>ідентифікаційний номер</w:t>
      </w:r>
      <w:r w:rsidR="00E14AD2" w:rsidRPr="00E14AD2">
        <w:rPr>
          <w:i/>
          <w:lang w:val="uk-UA"/>
        </w:rPr>
        <w:t xml:space="preserve"> </w:t>
      </w:r>
      <w:r w:rsidR="00E14AD2" w:rsidRPr="005D3A94">
        <w:rPr>
          <w:i/>
          <w:lang w:val="uk-UA"/>
        </w:rPr>
        <w:t>(конфіденційна інформація)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E14AD2" w:rsidRPr="005D3A94">
        <w:rPr>
          <w:i/>
          <w:lang w:val="uk-UA"/>
        </w:rPr>
        <w:t>(конфіденційна інформація)</w:t>
      </w:r>
      <w:r>
        <w:rPr>
          <w:lang w:val="uk-UA"/>
        </w:rPr>
        <w:t xml:space="preserve"> </w:t>
      </w:r>
      <w:r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E14AD2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E14AD2" w:rsidRPr="005D3A94">
        <w:rPr>
          <w:i/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E14AD2" w:rsidRPr="005D3A94">
        <w:rPr>
          <w:i/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</w:t>
      </w:r>
      <w:r w:rsidR="00CC3C19">
        <w:rPr>
          <w:lang w:val="uk-UA"/>
        </w:rPr>
        <w:t>бухгалтер</w:t>
      </w:r>
      <w:r>
        <w:rPr>
          <w:lang w:val="uk-UA"/>
        </w:rPr>
        <w:t xml:space="preserve">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BA09E7">
        <w:rPr>
          <w:lang w:val="uk-UA"/>
        </w:rPr>
        <w:t xml:space="preserve"> </w:t>
      </w:r>
      <w:r w:rsidR="00E14AD2" w:rsidRPr="005D3A94">
        <w:rPr>
          <w:i/>
          <w:lang w:val="uk-UA"/>
        </w:rPr>
        <w:t>(конфіденційна інформація)</w:t>
      </w:r>
      <w:r w:rsidR="00BA09E7">
        <w:rPr>
          <w:lang w:val="uk-UA"/>
        </w:rPr>
        <w:t xml:space="preserve">,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E14AD2">
        <w:rPr>
          <w:lang w:val="uk-UA"/>
        </w:rPr>
        <w:t xml:space="preserve"> </w:t>
      </w:r>
      <w:r w:rsidR="00E14AD2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C3C19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C2603B" w:rsidRDefault="00CC3C19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Д</w:t>
      </w:r>
      <w:r w:rsidRPr="00CC3C19">
        <w:rPr>
          <w:lang w:val="uk-UA"/>
        </w:rPr>
        <w:t>оруч</w:t>
      </w:r>
      <w:r>
        <w:rPr>
          <w:lang w:val="uk-UA"/>
        </w:rPr>
        <w:t>ити</w:t>
      </w:r>
      <w:r w:rsidRPr="00CC3C19">
        <w:rPr>
          <w:lang w:val="uk-UA"/>
        </w:rPr>
        <w:t xml:space="preserve"> </w:t>
      </w:r>
      <w:r>
        <w:rPr>
          <w:lang w:val="uk-UA"/>
        </w:rPr>
        <w:t>секретарю ліквідаційної комісії</w:t>
      </w:r>
      <w:r w:rsidRPr="00CC3C19">
        <w:rPr>
          <w:lang w:val="uk-UA"/>
        </w:rPr>
        <w:t>, головному спеціалісту відділу формування, обліку та управління комунальною власністю, орендних відносин Фонду комунального майна Сєвєродонецької міської ради Троцан Вікторії Вікторівні</w:t>
      </w:r>
      <w:r>
        <w:rPr>
          <w:lang w:val="uk-UA"/>
        </w:rPr>
        <w:t xml:space="preserve"> н</w:t>
      </w:r>
      <w:r w:rsidRPr="00F973F8">
        <w:rPr>
          <w:lang w:val="uk-UA"/>
        </w:rPr>
        <w:t>адати</w:t>
      </w:r>
      <w:r>
        <w:rPr>
          <w:lang w:val="uk-UA"/>
        </w:rPr>
        <w:t xml:space="preserve"> реєстратору  Сєвєродонецького Центру надання адміністративних послуг </w:t>
      </w:r>
      <w:r w:rsidRPr="00F973F8">
        <w:rPr>
          <w:lang w:val="uk-UA"/>
        </w:rPr>
        <w:t xml:space="preserve">документи для внесення до </w:t>
      </w:r>
      <w:r w:rsidRPr="00F973F8">
        <w:rPr>
          <w:lang w:val="uk-UA"/>
        </w:rPr>
        <w:lastRenderedPageBreak/>
        <w:t xml:space="preserve">Єдиного державного реєстру запису щодо </w:t>
      </w:r>
      <w:r>
        <w:rPr>
          <w:lang w:val="uk-UA"/>
        </w:rPr>
        <w:t xml:space="preserve"> </w:t>
      </w:r>
      <w:r w:rsidRPr="00F973F8">
        <w:rPr>
          <w:lang w:val="uk-UA"/>
        </w:rPr>
        <w:t>припинення юридичної особи - комунально</w:t>
      </w:r>
      <w:r>
        <w:rPr>
          <w:lang w:val="uk-UA"/>
        </w:rPr>
        <w:t>го</w:t>
      </w:r>
      <w:r w:rsidRPr="00F973F8">
        <w:rPr>
          <w:lang w:val="uk-UA"/>
        </w:rPr>
        <w:t xml:space="preserve"> </w:t>
      </w:r>
      <w:r>
        <w:rPr>
          <w:lang w:val="uk-UA"/>
        </w:rPr>
        <w:t>підприємства</w:t>
      </w:r>
      <w:r w:rsidRPr="00F973F8">
        <w:rPr>
          <w:lang w:val="uk-UA"/>
        </w:rPr>
        <w:t xml:space="preserve"> «</w:t>
      </w:r>
      <w:r>
        <w:rPr>
          <w:lang w:val="uk-UA"/>
        </w:rPr>
        <w:t>Сєвєродонецькі теплові мережі»</w:t>
      </w:r>
      <w:r w:rsidR="00AC7B84">
        <w:rPr>
          <w:lang w:val="uk-UA"/>
        </w:rPr>
        <w:t>»</w:t>
      </w:r>
      <w:r w:rsidR="00246BA9">
        <w:rPr>
          <w:lang w:val="uk-UA"/>
        </w:rPr>
        <w:t>.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902C67" w:rsidRDefault="00902C67" w:rsidP="00D614E1">
      <w:pPr>
        <w:pStyle w:val="2"/>
        <w:spacing w:line="360" w:lineRule="auto"/>
        <w:ind w:left="0"/>
        <w:rPr>
          <w:b/>
          <w:lang w:val="uk-UA"/>
        </w:rPr>
      </w:pPr>
    </w:p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46BA9"/>
    <w:rsid w:val="002664F6"/>
    <w:rsid w:val="002B5580"/>
    <w:rsid w:val="0032159F"/>
    <w:rsid w:val="003C26B4"/>
    <w:rsid w:val="003E764A"/>
    <w:rsid w:val="003F14B1"/>
    <w:rsid w:val="004166E9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5F7C09"/>
    <w:rsid w:val="00601E3B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C644F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33B82"/>
    <w:rsid w:val="00C45F66"/>
    <w:rsid w:val="00CB5EBA"/>
    <w:rsid w:val="00CC3C19"/>
    <w:rsid w:val="00CE2257"/>
    <w:rsid w:val="00CF4B44"/>
    <w:rsid w:val="00D053C4"/>
    <w:rsid w:val="00D109B5"/>
    <w:rsid w:val="00D26EFD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14AD2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5277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2018-03-06T07:25:00Z</cp:lastPrinted>
  <dcterms:created xsi:type="dcterms:W3CDTF">2018-03-12T13:17:00Z</dcterms:created>
  <dcterms:modified xsi:type="dcterms:W3CDTF">2018-03-12T13:17:00Z</dcterms:modified>
</cp:coreProperties>
</file>