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95" w:rsidRPr="00C24097" w:rsidRDefault="00630295" w:rsidP="00630295">
      <w:pPr>
        <w:ind w:left="9204" w:firstLine="708"/>
        <w:rPr>
          <w:rFonts w:ascii="Times New Roman" w:hAnsi="Times New Roman"/>
          <w:lang w:val="uk-UA"/>
        </w:rPr>
      </w:pPr>
      <w:r w:rsidRPr="00C24097">
        <w:rPr>
          <w:rFonts w:ascii="Times New Roman" w:hAnsi="Times New Roman"/>
          <w:lang w:val="uk-UA"/>
        </w:rPr>
        <w:t>Додаток</w:t>
      </w:r>
      <w:r w:rsidR="00EB59AA">
        <w:rPr>
          <w:rFonts w:ascii="Times New Roman" w:hAnsi="Times New Roman"/>
          <w:lang w:val="uk-UA"/>
        </w:rPr>
        <w:t xml:space="preserve"> 1</w:t>
      </w:r>
    </w:p>
    <w:p w:rsidR="00630295" w:rsidRPr="00C24097" w:rsidRDefault="00630295" w:rsidP="00630295">
      <w:pPr>
        <w:ind w:left="9204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до рішення </w:t>
      </w:r>
      <w:r w:rsidR="00F2622A">
        <w:rPr>
          <w:rFonts w:ascii="Times New Roman" w:hAnsi="Times New Roman"/>
          <w:lang w:val="uk-UA"/>
        </w:rPr>
        <w:t>38</w:t>
      </w:r>
      <w:r w:rsidRPr="00C24097">
        <w:rPr>
          <w:rFonts w:ascii="Times New Roman" w:hAnsi="Times New Roman"/>
          <w:lang w:val="uk-UA"/>
        </w:rPr>
        <w:t xml:space="preserve"> сесії міської ради</w:t>
      </w:r>
    </w:p>
    <w:p w:rsidR="00630295" w:rsidRPr="00C24097" w:rsidRDefault="00630295" w:rsidP="00630295">
      <w:pPr>
        <w:ind w:left="9204" w:firstLine="708"/>
        <w:rPr>
          <w:rFonts w:ascii="Times New Roman" w:hAnsi="Times New Roman"/>
          <w:sz w:val="36"/>
          <w:szCs w:val="36"/>
          <w:lang w:val="uk-UA"/>
        </w:rPr>
      </w:pPr>
      <w:r w:rsidRPr="00C24097">
        <w:rPr>
          <w:rFonts w:ascii="Times New Roman" w:hAnsi="Times New Roman"/>
          <w:lang w:val="uk-UA"/>
        </w:rPr>
        <w:t xml:space="preserve">від </w:t>
      </w:r>
      <w:r>
        <w:rPr>
          <w:rFonts w:ascii="Times New Roman" w:hAnsi="Times New Roman"/>
          <w:lang w:val="uk-UA"/>
        </w:rPr>
        <w:t>«</w:t>
      </w:r>
      <w:r w:rsidR="00F2622A">
        <w:rPr>
          <w:rFonts w:ascii="Times New Roman" w:hAnsi="Times New Roman"/>
          <w:lang w:val="uk-UA"/>
        </w:rPr>
        <w:t xml:space="preserve"> 30 </w:t>
      </w:r>
      <w:r>
        <w:rPr>
          <w:rFonts w:ascii="Times New Roman" w:hAnsi="Times New Roman"/>
          <w:lang w:val="uk-UA"/>
        </w:rPr>
        <w:t xml:space="preserve">» </w:t>
      </w:r>
      <w:r w:rsidR="00F2622A">
        <w:rPr>
          <w:rFonts w:ascii="Times New Roman" w:hAnsi="Times New Roman"/>
          <w:lang w:val="uk-UA"/>
        </w:rPr>
        <w:t>січня</w:t>
      </w:r>
      <w:r>
        <w:rPr>
          <w:rFonts w:ascii="Times New Roman" w:hAnsi="Times New Roman"/>
          <w:lang w:val="uk-UA"/>
        </w:rPr>
        <w:t xml:space="preserve"> </w:t>
      </w:r>
      <w:r w:rsidRPr="00FC4FBE">
        <w:rPr>
          <w:rFonts w:ascii="Times New Roman" w:hAnsi="Times New Roman"/>
          <w:lang w:val="uk-UA"/>
        </w:rPr>
        <w:t>201</w:t>
      </w:r>
      <w:r w:rsidR="005E5B0B">
        <w:rPr>
          <w:rFonts w:ascii="Times New Roman" w:hAnsi="Times New Roman"/>
          <w:lang w:val="uk-UA"/>
        </w:rPr>
        <w:t>8</w:t>
      </w:r>
      <w:r>
        <w:rPr>
          <w:rFonts w:ascii="Times New Roman" w:hAnsi="Times New Roman"/>
          <w:lang w:val="uk-UA"/>
        </w:rPr>
        <w:t xml:space="preserve"> </w:t>
      </w:r>
      <w:r w:rsidRPr="00FC4FBE">
        <w:rPr>
          <w:rFonts w:ascii="Times New Roman" w:hAnsi="Times New Roman"/>
          <w:lang w:val="uk-UA"/>
        </w:rPr>
        <w:t>року</w:t>
      </w:r>
      <w:r w:rsidRPr="00C24097">
        <w:rPr>
          <w:rFonts w:ascii="Times New Roman" w:hAnsi="Times New Roman"/>
          <w:lang w:val="uk-UA"/>
        </w:rPr>
        <w:t xml:space="preserve"> № </w:t>
      </w:r>
      <w:r w:rsidR="00F2622A">
        <w:rPr>
          <w:rFonts w:ascii="Times New Roman" w:hAnsi="Times New Roman"/>
          <w:lang w:val="uk-UA"/>
        </w:rPr>
        <w:t>2129</w:t>
      </w:r>
    </w:p>
    <w:p w:rsidR="00E8435E" w:rsidRPr="00EB59AA" w:rsidRDefault="008D281B" w:rsidP="008D281B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E8435E" w:rsidRPr="00A55BCE" w:rsidRDefault="00E8435E" w:rsidP="00E8435E">
      <w:pPr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A55BCE">
        <w:rPr>
          <w:rFonts w:ascii="Times New Roman" w:hAnsi="Times New Roman"/>
          <w:b/>
          <w:sz w:val="20"/>
          <w:szCs w:val="20"/>
          <w:lang w:val="uk-UA"/>
        </w:rPr>
        <w:t>НАПРЯМКИ ДІЯЛЬНОСТІ ТА ОСНОВНІ ЗАХОДИ ПРОГРАМИ</w:t>
      </w:r>
    </w:p>
    <w:p w:rsidR="00E8435E" w:rsidRPr="00A55BCE" w:rsidRDefault="00E8435E" w:rsidP="00E8435E">
      <w:pPr>
        <w:rPr>
          <w:rFonts w:ascii="Times New Roman" w:hAnsi="Times New Roman"/>
          <w:sz w:val="20"/>
          <w:szCs w:val="20"/>
          <w:lang w:val="uk-UA"/>
        </w:rPr>
      </w:pPr>
    </w:p>
    <w:tbl>
      <w:tblPr>
        <w:tblW w:w="164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984"/>
        <w:gridCol w:w="2340"/>
        <w:gridCol w:w="1080"/>
        <w:gridCol w:w="2385"/>
        <w:gridCol w:w="993"/>
        <w:gridCol w:w="2126"/>
        <w:gridCol w:w="1701"/>
        <w:gridCol w:w="1815"/>
        <w:gridCol w:w="592"/>
      </w:tblGrid>
      <w:tr w:rsidR="009111B1" w:rsidRPr="00A55BCE" w:rsidTr="009111B1">
        <w:trPr>
          <w:trHeight w:val="987"/>
          <w:tblHeader/>
        </w:trPr>
        <w:tc>
          <w:tcPr>
            <w:tcW w:w="425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984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340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080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Строк </w:t>
            </w:r>
            <w:proofErr w:type="spellStart"/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виконан-ня</w:t>
            </w:r>
            <w:proofErr w:type="spellEnd"/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 заходу</w:t>
            </w:r>
          </w:p>
        </w:tc>
        <w:tc>
          <w:tcPr>
            <w:tcW w:w="2385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993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701" w:type="dxa"/>
          </w:tcPr>
          <w:p w:rsidR="009111B1" w:rsidRPr="00A55BCE" w:rsidRDefault="009111B1" w:rsidP="00E8435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Орієнтовні обсяги фінансування (тис. грн.) </w:t>
            </w:r>
          </w:p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15" w:type="dxa"/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Відмітка про виконання</w:t>
            </w:r>
          </w:p>
        </w:tc>
        <w:tc>
          <w:tcPr>
            <w:tcW w:w="592" w:type="dxa"/>
            <w:tcBorders>
              <w:top w:val="nil"/>
              <w:bottom w:val="nil"/>
            </w:tcBorders>
          </w:tcPr>
          <w:p w:rsidR="009111B1" w:rsidRPr="00A55BCE" w:rsidRDefault="009111B1" w:rsidP="00986B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</w:tr>
    </w:tbl>
    <w:p w:rsidR="00E8435E" w:rsidRPr="00A55BCE" w:rsidRDefault="00E8435E" w:rsidP="00E8435E">
      <w:pPr>
        <w:rPr>
          <w:rFonts w:ascii="Times New Roman" w:hAnsi="Times New Roman"/>
          <w:i/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552"/>
        <w:gridCol w:w="2907"/>
        <w:gridCol w:w="1080"/>
        <w:gridCol w:w="2244"/>
        <w:gridCol w:w="1134"/>
        <w:gridCol w:w="2126"/>
        <w:gridCol w:w="1701"/>
        <w:gridCol w:w="1708"/>
      </w:tblGrid>
      <w:tr w:rsidR="00E8435E" w:rsidRPr="00A55BCE" w:rsidTr="00F127BD">
        <w:trPr>
          <w:tblHeader/>
        </w:trPr>
        <w:tc>
          <w:tcPr>
            <w:tcW w:w="425" w:type="dxa"/>
          </w:tcPr>
          <w:p w:rsidR="00E8435E" w:rsidRPr="00A55BCE" w:rsidRDefault="00E8435E" w:rsidP="00986BCA">
            <w:pPr>
              <w:tabs>
                <w:tab w:val="center" w:pos="126"/>
              </w:tabs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907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44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26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708" w:type="dxa"/>
          </w:tcPr>
          <w:p w:rsidR="00E8435E" w:rsidRPr="00A55BCE" w:rsidRDefault="00E8435E" w:rsidP="00986BC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</w:p>
        </w:tc>
      </w:tr>
      <w:tr w:rsidR="00E82970" w:rsidRPr="00A55BCE" w:rsidTr="00F127BD">
        <w:trPr>
          <w:trHeight w:val="2443"/>
        </w:trPr>
        <w:tc>
          <w:tcPr>
            <w:tcW w:w="425" w:type="dxa"/>
            <w:vMerge w:val="restart"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 w:val="restart"/>
          </w:tcPr>
          <w:p w:rsidR="00E82970" w:rsidRPr="00A55BCE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1.Організаційно-методичне, інформаційне та кадрове забезпечення  реалізації заходів програми. </w:t>
            </w:r>
          </w:p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E82970" w:rsidRPr="00A55BCE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1.1  Організація та проведення засідань Координаційної ради з питань оздоровлення та відпочинку дітей щодо підготовки, перебігу та підсумків оздоровчої кампанії, реалізації проектів відділів міської ради, організацій, задіяних в оздоровленні дітей влітку 201</w:t>
            </w:r>
            <w:r w:rsidR="00630295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року.</w:t>
            </w:r>
          </w:p>
          <w:p w:rsidR="00E82970" w:rsidRPr="00A55BCE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82970" w:rsidRPr="00A55BCE" w:rsidRDefault="00E82970" w:rsidP="00986BCA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E82970" w:rsidRPr="00A55BCE" w:rsidRDefault="00E82970" w:rsidP="0063029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Березень-листопад201</w:t>
            </w:r>
            <w:r w:rsidR="00630295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</w:tcPr>
          <w:p w:rsidR="00E82970" w:rsidRPr="00A55BCE" w:rsidRDefault="00E82970" w:rsidP="0063029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молоді та спорту, відділ освіти, </w:t>
            </w:r>
            <w:r w:rsidR="00630295">
              <w:rPr>
                <w:rFonts w:ascii="Times New Roman" w:hAnsi="Times New Roman"/>
                <w:sz w:val="20"/>
                <w:szCs w:val="20"/>
                <w:lang w:val="uk-UA"/>
              </w:rPr>
              <w:t>СДЮК «Юність»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, організації та підприємства міста</w:t>
            </w:r>
            <w:r w:rsidR="006809A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</w:tcPr>
          <w:p w:rsidR="00E82970" w:rsidRPr="00A55BCE" w:rsidRDefault="00E82970" w:rsidP="00A55BCE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2970" w:rsidRPr="00A55BCE" w:rsidRDefault="00E82970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2970" w:rsidRPr="00A55BCE" w:rsidRDefault="00E82970" w:rsidP="00A55BCE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E82970" w:rsidRPr="00A55BCE" w:rsidRDefault="00E82970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82970" w:rsidRPr="00A55BCE" w:rsidTr="00F127BD">
        <w:trPr>
          <w:trHeight w:val="645"/>
        </w:trPr>
        <w:tc>
          <w:tcPr>
            <w:tcW w:w="425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E82970" w:rsidRPr="00A55BCE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2.Підготовка проектів рішень виконкому міської ради щодо організаційного та фінансового забезпечення літньої оздоровчої кампанії 201</w:t>
            </w:r>
            <w:r w:rsidR="00630295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року, підсумків літнього оздоровлення та відпочинку дітей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E82970" w:rsidRPr="00A55BCE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E82970" w:rsidRDefault="00E82970" w:rsidP="00094DE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равень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–жовтень</w:t>
            </w:r>
          </w:p>
          <w:p w:rsidR="00E82970" w:rsidRPr="00A55BCE" w:rsidRDefault="00E82970" w:rsidP="0063029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630295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оку</w:t>
            </w:r>
          </w:p>
        </w:tc>
        <w:tc>
          <w:tcPr>
            <w:tcW w:w="2244" w:type="dxa"/>
          </w:tcPr>
          <w:p w:rsidR="00E82970" w:rsidRPr="00A55BCE" w:rsidRDefault="00E82970" w:rsidP="00D05B5D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молоді та спорту</w:t>
            </w:r>
            <w:r w:rsidR="006809AE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82970" w:rsidRPr="00A55BCE" w:rsidRDefault="00E82970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2970" w:rsidRPr="00A55BCE" w:rsidRDefault="00E82970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2970" w:rsidRPr="00A55BCE" w:rsidRDefault="00E82970" w:rsidP="00D05B5D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82970" w:rsidRPr="00A55BCE" w:rsidTr="00F127BD">
        <w:trPr>
          <w:trHeight w:val="2175"/>
        </w:trPr>
        <w:tc>
          <w:tcPr>
            <w:tcW w:w="425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E82970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82970" w:rsidRDefault="00E82970" w:rsidP="00E17EB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Pr="00094D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3. Підготовка </w:t>
            </w:r>
            <w:r w:rsidR="00E17E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 затвердження </w:t>
            </w:r>
            <w:r w:rsidRPr="00094DE7">
              <w:rPr>
                <w:rFonts w:ascii="Times New Roman" w:hAnsi="Times New Roman"/>
                <w:sz w:val="20"/>
                <w:szCs w:val="20"/>
                <w:lang w:val="uk-UA"/>
              </w:rPr>
              <w:t>рішен</w:t>
            </w:r>
            <w:r w:rsidR="00630295">
              <w:rPr>
                <w:rFonts w:ascii="Times New Roman" w:hAnsi="Times New Roman"/>
                <w:sz w:val="20"/>
                <w:szCs w:val="20"/>
                <w:lang w:val="uk-UA"/>
              </w:rPr>
              <w:t>ня</w:t>
            </w:r>
            <w:r w:rsidRPr="00094D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сесі</w:t>
            </w:r>
            <w:r w:rsidR="00630295"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 w:rsidRPr="00094D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E17E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«Про хід виконання міської цільової Комплексної програми «Оздоровлення та відпочинок дітей на 2018 рік».  </w:t>
            </w:r>
          </w:p>
        </w:tc>
        <w:tc>
          <w:tcPr>
            <w:tcW w:w="1080" w:type="dxa"/>
          </w:tcPr>
          <w:p w:rsidR="00E82970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82970" w:rsidRDefault="00E17EB6" w:rsidP="00E17EB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Лютий</w:t>
            </w:r>
            <w:r w:rsidR="00E829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9 </w:t>
            </w:r>
            <w:r w:rsidR="00E82970">
              <w:rPr>
                <w:rFonts w:ascii="Times New Roman" w:hAnsi="Times New Roman"/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2244" w:type="dxa"/>
          </w:tcPr>
          <w:p w:rsidR="00E82970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82970" w:rsidRPr="00A55BCE" w:rsidRDefault="00E17EB6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молоді та спорту</w:t>
            </w:r>
            <w:r w:rsidR="006809A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</w:tcPr>
          <w:p w:rsidR="00E82970" w:rsidRPr="00A55BCE" w:rsidRDefault="00E82970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2970" w:rsidRPr="00A55BCE" w:rsidRDefault="00E82970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2970" w:rsidRPr="00A55BCE" w:rsidRDefault="00E82970" w:rsidP="00D05B5D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E82970" w:rsidRPr="00A55BCE" w:rsidRDefault="00E82970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82970" w:rsidRPr="00A55BCE" w:rsidTr="00F127BD">
        <w:trPr>
          <w:trHeight w:val="3075"/>
        </w:trPr>
        <w:tc>
          <w:tcPr>
            <w:tcW w:w="425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E82970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82970" w:rsidRPr="00E82970" w:rsidRDefault="00E82970" w:rsidP="00E8297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Pr="00E82970">
              <w:rPr>
                <w:rFonts w:ascii="Times New Roman" w:hAnsi="Times New Roman"/>
                <w:sz w:val="20"/>
                <w:szCs w:val="20"/>
                <w:lang w:val="uk-UA"/>
              </w:rPr>
              <w:t>4.Сприяння участі  відділів міської ради, організацій, задіяних в літньому оздоровленні дітей, адміністрацій дитячих закладів оздоровлення та 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дпочинку  м. Сєвєродонецька у </w:t>
            </w:r>
            <w:r w:rsidRPr="00E82970">
              <w:rPr>
                <w:rFonts w:ascii="Times New Roman" w:hAnsi="Times New Roman"/>
                <w:sz w:val="20"/>
                <w:szCs w:val="20"/>
                <w:lang w:val="uk-UA"/>
              </w:rPr>
              <w:t>семінарах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нарадах</w:t>
            </w:r>
            <w:r w:rsidRPr="00E829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проведення оздоровчих кампаній.</w:t>
            </w:r>
          </w:p>
          <w:p w:rsidR="00E82970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E82970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82970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244" w:type="dxa"/>
          </w:tcPr>
          <w:p w:rsidR="00E82970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82970" w:rsidRPr="00950345" w:rsidRDefault="00E82970" w:rsidP="006809A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освіти, відділ молоді та спорту,  СДЮК «Юність»</w:t>
            </w:r>
            <w:r w:rsidR="00950345">
              <w:rPr>
                <w:rFonts w:ascii="Times New Roman" w:hAnsi="Times New Roman"/>
                <w:sz w:val="20"/>
                <w:szCs w:val="20"/>
                <w:lang w:val="uk-UA"/>
              </w:rPr>
              <w:t>, управління охорони здоров</w:t>
            </w:r>
            <w:r w:rsidR="00950345" w:rsidRPr="009503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’я, </w:t>
            </w:r>
            <w:r w:rsidR="006809AE">
              <w:rPr>
                <w:rFonts w:ascii="Times New Roman" w:hAnsi="Times New Roman"/>
                <w:sz w:val="20"/>
                <w:szCs w:val="20"/>
                <w:lang w:val="uk-UA"/>
              </w:rPr>
              <w:t>відділ торгівлі та з захисту прав споживачів, У</w:t>
            </w:r>
            <w:r w:rsidR="00950345" w:rsidRPr="009503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правління </w:t>
            </w:r>
            <w:proofErr w:type="spellStart"/>
            <w:r w:rsidR="00950345" w:rsidRPr="00950345">
              <w:rPr>
                <w:rFonts w:ascii="Times New Roman" w:hAnsi="Times New Roman"/>
                <w:sz w:val="20"/>
                <w:szCs w:val="20"/>
                <w:lang w:val="uk-UA"/>
              </w:rPr>
              <w:t>Держпродспоживслужби</w:t>
            </w:r>
            <w:proofErr w:type="spellEnd"/>
            <w:r w:rsidR="00950345" w:rsidRPr="009503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м. </w:t>
            </w:r>
            <w:proofErr w:type="spellStart"/>
            <w:r w:rsidR="00950345" w:rsidRPr="00950345"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Сєвєродонецьку</w:t>
            </w:r>
            <w:proofErr w:type="spellEnd"/>
            <w:r w:rsidR="009503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міське управління ДСНС України в Луганській області, </w:t>
            </w:r>
            <w:proofErr w:type="spellStart"/>
            <w:r w:rsidR="00950345"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="009503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відділ поліції </w:t>
            </w:r>
            <w:proofErr w:type="spellStart"/>
            <w:r w:rsidR="00950345">
              <w:rPr>
                <w:rFonts w:ascii="Times New Roman" w:hAnsi="Times New Roman"/>
                <w:sz w:val="20"/>
                <w:szCs w:val="20"/>
                <w:lang w:val="uk-UA"/>
              </w:rPr>
              <w:t>ГУНП</w:t>
            </w:r>
            <w:proofErr w:type="spellEnd"/>
            <w:r w:rsidR="009503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Луганській обл.</w:t>
            </w:r>
            <w:r w:rsidR="006809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ін.</w:t>
            </w:r>
          </w:p>
        </w:tc>
        <w:tc>
          <w:tcPr>
            <w:tcW w:w="1134" w:type="dxa"/>
          </w:tcPr>
          <w:p w:rsidR="00E82970" w:rsidRPr="00A55BCE" w:rsidRDefault="00E82970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2970" w:rsidRPr="00A55BCE" w:rsidRDefault="00E82970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2970" w:rsidRPr="00A55BCE" w:rsidRDefault="00E82970" w:rsidP="00E82970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E82970" w:rsidRDefault="00E82970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82970" w:rsidRPr="00D230FF" w:rsidTr="00F127BD">
        <w:trPr>
          <w:trHeight w:val="1742"/>
        </w:trPr>
        <w:tc>
          <w:tcPr>
            <w:tcW w:w="425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E82970" w:rsidRPr="00E82970" w:rsidRDefault="00E82970" w:rsidP="00E8297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29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1.5. Здійснення заходів щодо розвитку </w:t>
            </w:r>
            <w:r w:rsidR="00006F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функціонування </w:t>
            </w:r>
            <w:r w:rsidRPr="00E829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мережі дитячих закладів оздоровлення та відпочинку, покращення якості оздоровчих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відпочинкових </w:t>
            </w:r>
            <w:r w:rsidRPr="00E82970">
              <w:rPr>
                <w:rFonts w:ascii="Times New Roman" w:hAnsi="Times New Roman"/>
                <w:sz w:val="20"/>
                <w:szCs w:val="20"/>
                <w:lang w:val="uk-UA"/>
              </w:rPr>
              <w:t>послуг, урізноманітнення форм виховної роботи в таборах та у рамках діяльності майданчиків відпочинку (експедиції, туристичні походи, поїздки, екскурсії, змагання, конкурси, проекти тощо) і збільшення кількості дітей, охоплених літнім оздоровленням.</w:t>
            </w:r>
          </w:p>
          <w:p w:rsidR="0018755E" w:rsidRDefault="0018755E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E82970" w:rsidRDefault="00E82970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Протягом року</w:t>
            </w:r>
          </w:p>
        </w:tc>
        <w:tc>
          <w:tcPr>
            <w:tcW w:w="2244" w:type="dxa"/>
          </w:tcPr>
          <w:p w:rsidR="00E82970" w:rsidRDefault="00E82970" w:rsidP="00E8297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освіти, відділ молоді та спорту,  СДЮК «Юність»</w:t>
            </w:r>
            <w:r w:rsidR="006809AE">
              <w:rPr>
                <w:rFonts w:ascii="Times New Roman" w:hAnsi="Times New Roman"/>
                <w:sz w:val="20"/>
                <w:szCs w:val="20"/>
                <w:lang w:val="uk-UA"/>
              </w:rPr>
              <w:t>, організації та підприємства міста.</w:t>
            </w:r>
          </w:p>
        </w:tc>
        <w:tc>
          <w:tcPr>
            <w:tcW w:w="1134" w:type="dxa"/>
          </w:tcPr>
          <w:p w:rsidR="00E82970" w:rsidRPr="00A55BCE" w:rsidRDefault="001A1DC1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126" w:type="dxa"/>
          </w:tcPr>
          <w:p w:rsidR="00E82970" w:rsidRDefault="001A1DC1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</w:t>
            </w:r>
          </w:p>
          <w:p w:rsidR="001A1DC1" w:rsidRPr="00A55BCE" w:rsidRDefault="001A1DC1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молоді та спорту, С ДЮК «Юність»</w:t>
            </w:r>
          </w:p>
        </w:tc>
        <w:tc>
          <w:tcPr>
            <w:tcW w:w="1701" w:type="dxa"/>
          </w:tcPr>
          <w:p w:rsidR="00E82970" w:rsidRDefault="005F1508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Фінансування в межах проектів, бюджетних запитів організацій-партерів (відділ освіти, відділ молоді та спорту, СДЮК «Юність»)</w:t>
            </w:r>
          </w:p>
        </w:tc>
        <w:tc>
          <w:tcPr>
            <w:tcW w:w="1708" w:type="dxa"/>
          </w:tcPr>
          <w:p w:rsidR="00E82970" w:rsidRPr="00A55BCE" w:rsidRDefault="00E82970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5A9D" w:rsidRPr="00A55BCE" w:rsidTr="00F127BD">
        <w:trPr>
          <w:trHeight w:val="3210"/>
        </w:trPr>
        <w:tc>
          <w:tcPr>
            <w:tcW w:w="425" w:type="dxa"/>
            <w:vMerge w:val="restart"/>
            <w:tcBorders>
              <w:top w:val="nil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 w:rsidR="00F55A9D" w:rsidRPr="001756E8" w:rsidRDefault="00F55A9D" w:rsidP="00B526E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1.6. Удосконалення роботи в ДЗОВ міста Мобільного </w:t>
            </w:r>
            <w:proofErr w:type="spellStart"/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консультпункту</w:t>
            </w:r>
            <w:proofErr w:type="spellEnd"/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СМ ЦСССДМ з метою надання психологічних, юридичних, соціально-педагогічних послуг, залучення волонтерів, в тому числі медиків, для роботи з пропаганди здорового способу життя.</w:t>
            </w:r>
          </w:p>
        </w:tc>
        <w:tc>
          <w:tcPr>
            <w:tcW w:w="1080" w:type="dxa"/>
            <w:tcBorders>
              <w:top w:val="nil"/>
            </w:tcBorders>
          </w:tcPr>
          <w:p w:rsidR="00F55A9D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Червень-серпень</w:t>
            </w:r>
          </w:p>
          <w:p w:rsidR="00F55A9D" w:rsidRDefault="00F55A9D" w:rsidP="006809A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6809AE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nil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СМ ЦСССДМ</w:t>
            </w:r>
          </w:p>
        </w:tc>
        <w:tc>
          <w:tcPr>
            <w:tcW w:w="1134" w:type="dxa"/>
            <w:tcBorders>
              <w:top w:val="nil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55A9D" w:rsidRPr="00A55BCE" w:rsidRDefault="00F55A9D" w:rsidP="00B526ED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5A9D" w:rsidRPr="005F3232" w:rsidTr="00F127BD">
        <w:trPr>
          <w:trHeight w:val="2160"/>
        </w:trPr>
        <w:tc>
          <w:tcPr>
            <w:tcW w:w="425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F55A9D" w:rsidRPr="001756E8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5A9D" w:rsidRPr="001756E8" w:rsidRDefault="00F55A9D" w:rsidP="005F3B6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1.7. Сприяння організації вторинної зайнятості молоді, в тому числі діяльності молодіжних трудових загонів під час літніх канікул.</w:t>
            </w:r>
          </w:p>
          <w:p w:rsidR="00F55A9D" w:rsidRPr="001756E8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55A9D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Березень-вересень</w:t>
            </w:r>
          </w:p>
          <w:p w:rsidR="00F55A9D" w:rsidRDefault="00F55A9D" w:rsidP="005430C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55A9D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Навчальні заклади міста (СНУ ім. В.Даля, професійно-технічні навчальні заклади, СХМТ), відділ освіти,  відділ молоді та спорту, СДЮК «Юність»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7CB3" w:rsidRPr="00A55BCE" w:rsidRDefault="005D7CB3" w:rsidP="005D7CB3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F55A9D" w:rsidRDefault="00F55A9D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5A9D" w:rsidRPr="00A55BCE" w:rsidTr="00F127BD">
        <w:trPr>
          <w:trHeight w:val="990"/>
        </w:trPr>
        <w:tc>
          <w:tcPr>
            <w:tcW w:w="425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F55A9D" w:rsidRPr="001756E8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1.8.Організація профорієнтаційної роботи на базі ДЗОВ в літній період.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55A9D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Червень-липень </w:t>
            </w:r>
          </w:p>
          <w:p w:rsidR="00F55A9D" w:rsidRDefault="00F55A9D" w:rsidP="005430C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55A9D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центр зайнятості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7CB3" w:rsidRPr="00A55BCE" w:rsidRDefault="005D7CB3" w:rsidP="005D7CB3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F55A9D" w:rsidRDefault="00F55A9D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5A9D" w:rsidRPr="005F3232" w:rsidTr="00F127BD">
        <w:trPr>
          <w:trHeight w:val="1230"/>
        </w:trPr>
        <w:tc>
          <w:tcPr>
            <w:tcW w:w="425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F55A9D" w:rsidRPr="001756E8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1.9. Надання організаційно-методичної допомоги дитячим закладам оздоровлення та </w:t>
            </w:r>
          </w:p>
          <w:p w:rsidR="00F55A9D" w:rsidRPr="001756E8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відпочинку, організаціям, задіяним в оздоровчому процесі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F55A9D" w:rsidRPr="001756E8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5A9D" w:rsidRPr="001756E8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55A9D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Квітень-серпень</w:t>
            </w:r>
          </w:p>
          <w:p w:rsidR="00F55A9D" w:rsidRDefault="00F55A9D" w:rsidP="005430C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55A9D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молоді та спорту, відділ освіти, СДЮК «Юність»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7CB3" w:rsidRPr="00A55BCE" w:rsidRDefault="005D7CB3" w:rsidP="005D7CB3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F55A9D" w:rsidRDefault="00F55A9D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5A9D" w:rsidRPr="005F3232" w:rsidTr="00F127BD">
        <w:trPr>
          <w:trHeight w:val="2270"/>
        </w:trPr>
        <w:tc>
          <w:tcPr>
            <w:tcW w:w="425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F55A9D" w:rsidRPr="001756E8" w:rsidRDefault="00F55A9D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1.10. Проведення інформаційно-консультативної роботи із сім’ями щодо організації оздоровлення, відпочинку та змістовного дозвілля дітей.</w:t>
            </w:r>
          </w:p>
          <w:p w:rsidR="00F55A9D" w:rsidRPr="001756E8" w:rsidRDefault="00F55A9D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55A9D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55A9D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молоді та спорту, відділ освіти, СДЮК «Юність»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7CB3" w:rsidRPr="00A55BCE" w:rsidRDefault="005D7CB3" w:rsidP="005D7CB3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F55A9D" w:rsidRDefault="00F55A9D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5A9D" w:rsidRPr="005F3232" w:rsidTr="00F127BD">
        <w:trPr>
          <w:trHeight w:val="1905"/>
        </w:trPr>
        <w:tc>
          <w:tcPr>
            <w:tcW w:w="425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F55A9D" w:rsidRPr="001756E8" w:rsidRDefault="00F55A9D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1.11. Сприяння участі закладів оздоровлення та відпочинку міста в проведенні обласного етапу Всеукраїнського конкурсу на кращий оздоровчий заклад.</w:t>
            </w:r>
          </w:p>
          <w:p w:rsidR="00F55A9D" w:rsidRPr="001756E8" w:rsidRDefault="00F55A9D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55A9D" w:rsidRDefault="00F55A9D" w:rsidP="005430C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Серпень-листопад 201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55A9D" w:rsidRDefault="00F55A9D" w:rsidP="009F4B7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освіти, відділ молоді та спорту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, СДЮК «Юність».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7CB3" w:rsidRPr="00A55BCE" w:rsidRDefault="005D7CB3" w:rsidP="005D7CB3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F55A9D" w:rsidRDefault="00F55A9D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5A9D" w:rsidRPr="005F3232" w:rsidTr="00F127BD">
        <w:trPr>
          <w:trHeight w:val="1410"/>
        </w:trPr>
        <w:tc>
          <w:tcPr>
            <w:tcW w:w="425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F55A9D" w:rsidRPr="00A55BCE" w:rsidRDefault="00F55A9D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F55A9D" w:rsidRPr="001756E8" w:rsidRDefault="00F55A9D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1.12. Висвітлення ходу літньої оздоровчої кампанії в міських засобах масової інформації.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55A9D" w:rsidRDefault="00F55A9D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Березень-листопад</w:t>
            </w:r>
          </w:p>
          <w:p w:rsidR="00F55A9D" w:rsidRDefault="00F55A9D" w:rsidP="005430C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55A9D" w:rsidRPr="00F55A9D" w:rsidRDefault="00F55A9D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внутрішньої політики та зв</w:t>
            </w:r>
            <w:r w:rsidRPr="00F55A9D"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язків з громадс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кістю</w:t>
            </w:r>
            <w:r w:rsidR="005430C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5A9D" w:rsidRPr="00A55BCE" w:rsidRDefault="00F55A9D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7CB3" w:rsidRPr="00A55BCE" w:rsidRDefault="005D7CB3" w:rsidP="005D7CB3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F55A9D" w:rsidRDefault="00F55A9D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F55A9D" w:rsidRPr="00A55BCE" w:rsidRDefault="00F55A9D" w:rsidP="006C280E">
            <w:pPr>
              <w:tabs>
                <w:tab w:val="left" w:pos="1451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6FD5" w:rsidRPr="00A55BCE" w:rsidTr="00F127BD">
        <w:trPr>
          <w:trHeight w:val="2100"/>
        </w:trPr>
        <w:tc>
          <w:tcPr>
            <w:tcW w:w="425" w:type="dxa"/>
            <w:vMerge w:val="restart"/>
          </w:tcPr>
          <w:p w:rsidR="00006FD5" w:rsidRPr="00A55BCE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vMerge w:val="restart"/>
          </w:tcPr>
          <w:p w:rsidR="00006FD5" w:rsidRPr="001756E8" w:rsidRDefault="00006FD5" w:rsidP="00A9414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2. 1.Створення належних умов для безпечного та ефективного перебування дітей у дитячих закладах оздоровлення та відпочинку.</w:t>
            </w: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006FD5" w:rsidRPr="001756E8" w:rsidRDefault="00006FD5" w:rsidP="006C280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2.1.Здійснення в закладах охорони здоров’я підбору хронічно хворих дітей з метою санаторно-курортної реабілітації у дитячих закладах санаторного типу.</w:t>
            </w:r>
          </w:p>
          <w:p w:rsidR="00006FD5" w:rsidRPr="001756E8" w:rsidRDefault="00006FD5" w:rsidP="006C280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06FD5" w:rsidRDefault="00006FD5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охорони здоров</w:t>
            </w:r>
            <w:r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Pr="006C280E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0172" w:rsidRPr="00A55BCE" w:rsidRDefault="00160172" w:rsidP="00160172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006FD5" w:rsidRDefault="00006FD5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006FD5" w:rsidRPr="00A55BCE" w:rsidRDefault="00006FD5" w:rsidP="006C280E">
            <w:pPr>
              <w:tabs>
                <w:tab w:val="left" w:pos="1451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6FD5" w:rsidRPr="00A55BCE" w:rsidTr="00F127BD">
        <w:trPr>
          <w:trHeight w:val="2055"/>
        </w:trPr>
        <w:tc>
          <w:tcPr>
            <w:tcW w:w="425" w:type="dxa"/>
            <w:vMerge/>
          </w:tcPr>
          <w:p w:rsidR="00006FD5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006FD5" w:rsidRPr="001756E8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006FD5" w:rsidRPr="001756E8" w:rsidRDefault="00006FD5" w:rsidP="006C280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Pr="001756E8" w:rsidRDefault="00006FD5" w:rsidP="006C280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2.2. Здійснення контролю  за  якістю надання лікувально-профілактичної роботи в оздоровчих закладах міста.</w:t>
            </w:r>
          </w:p>
          <w:p w:rsidR="00006FD5" w:rsidRPr="001756E8" w:rsidRDefault="00006FD5" w:rsidP="006C280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6FD5" w:rsidRPr="001756E8" w:rsidRDefault="00006FD5" w:rsidP="006C280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06FD5" w:rsidRDefault="00006FD5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Червень-серпень</w:t>
            </w:r>
          </w:p>
          <w:p w:rsidR="00006FD5" w:rsidRDefault="00006FD5" w:rsidP="00B63A2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B63A24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006FD5" w:rsidRPr="006C280E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охорони здоров</w:t>
            </w:r>
            <w:r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0172" w:rsidRPr="00A55BCE" w:rsidRDefault="00160172" w:rsidP="00160172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006FD5" w:rsidRDefault="00006FD5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006FD5" w:rsidRPr="00A55BCE" w:rsidRDefault="00006FD5" w:rsidP="006C280E">
            <w:pPr>
              <w:tabs>
                <w:tab w:val="left" w:pos="1451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6FD5" w:rsidRPr="00F3685B" w:rsidTr="00F127BD">
        <w:trPr>
          <w:trHeight w:val="2220"/>
        </w:trPr>
        <w:tc>
          <w:tcPr>
            <w:tcW w:w="425" w:type="dxa"/>
            <w:vMerge/>
          </w:tcPr>
          <w:p w:rsidR="00006FD5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006FD5" w:rsidRPr="001756E8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006FD5" w:rsidRPr="001756E8" w:rsidRDefault="00006FD5" w:rsidP="00B63A2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2.3. Забезпечення супроводу медичними працівниками, патрульною службою поліції організованих груп дітей до місць оздоровлення та відпочинку, а також у зворотному напрямку</w:t>
            </w:r>
            <w:r w:rsidR="00B63A2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06FD5" w:rsidRDefault="00006FD5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Червень-серпень</w:t>
            </w:r>
          </w:p>
          <w:p w:rsidR="00006FD5" w:rsidRDefault="00006FD5" w:rsidP="00B63A2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B63A24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3685B" w:rsidRPr="00F3685B" w:rsidRDefault="00006FD5" w:rsidP="00F3685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молоді та спорту, відділ освіти</w:t>
            </w:r>
            <w:r w:rsidR="00F3685B">
              <w:rPr>
                <w:lang w:val="uk-UA"/>
              </w:rPr>
              <w:t xml:space="preserve">, </w:t>
            </w:r>
            <w:r w:rsidR="00F3685B" w:rsidRPr="00F3685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охорони здоров’я,</w:t>
            </w:r>
            <w:r w:rsidR="00F3685B">
              <w:rPr>
                <w:lang w:val="uk-UA"/>
              </w:rPr>
              <w:t xml:space="preserve"> </w:t>
            </w:r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</w:t>
            </w:r>
            <w:r w:rsidR="00F3685B" w:rsidRPr="00F3685B">
              <w:rPr>
                <w:rFonts w:ascii="Times New Roman" w:hAnsi="Times New Roman"/>
                <w:sz w:val="20"/>
                <w:szCs w:val="20"/>
                <w:lang w:val="uk-UA"/>
              </w:rPr>
              <w:t>патрульної поліції в містах</w:t>
            </w:r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3685B" w:rsidRPr="00F3685B"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</w:t>
            </w:r>
            <w:proofErr w:type="spellEnd"/>
            <w:r w:rsidR="00F3685B" w:rsidRPr="00F3685B">
              <w:rPr>
                <w:rFonts w:ascii="Times New Roman" w:hAnsi="Times New Roman"/>
                <w:sz w:val="20"/>
                <w:szCs w:val="20"/>
                <w:lang w:val="uk-UA"/>
              </w:rPr>
              <w:t>, Лисичанськ, Рубіжне</w:t>
            </w:r>
          </w:p>
          <w:p w:rsidR="00F3685B" w:rsidRPr="00F3685B" w:rsidRDefault="00F3685B" w:rsidP="00F3685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685B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Департаменту патрульної поліції</w:t>
            </w:r>
          </w:p>
          <w:p w:rsidR="00006FD5" w:rsidRPr="00F3685B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0172" w:rsidRPr="00A55BCE" w:rsidRDefault="00160172" w:rsidP="00160172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006FD5" w:rsidRDefault="00006FD5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006FD5" w:rsidRPr="00A55BCE" w:rsidRDefault="00006FD5" w:rsidP="006C280E">
            <w:pPr>
              <w:tabs>
                <w:tab w:val="left" w:pos="1451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6FD5" w:rsidRPr="005F3232" w:rsidTr="00F127BD">
        <w:trPr>
          <w:trHeight w:val="1770"/>
        </w:trPr>
        <w:tc>
          <w:tcPr>
            <w:tcW w:w="425" w:type="dxa"/>
            <w:vMerge/>
          </w:tcPr>
          <w:p w:rsidR="00006FD5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006FD5" w:rsidRPr="001756E8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006FD5" w:rsidRDefault="00317125" w:rsidP="00A9414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2.4. Здійснення</w:t>
            </w:r>
            <w:r w:rsidR="00006FD5" w:rsidRPr="001756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нагляду у сфері техногенної та пожежної безпеки на базі дитячих закладів оздоровлення та відпочинку.</w:t>
            </w:r>
          </w:p>
          <w:p w:rsidR="00317125" w:rsidRPr="001756E8" w:rsidRDefault="00317125" w:rsidP="00A9414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Обстеження на наявність вибухонебезпечних предметів.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06FD5" w:rsidRDefault="00006FD5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Березень-серпень</w:t>
            </w:r>
          </w:p>
          <w:p w:rsidR="00006FD5" w:rsidRDefault="00006FD5" w:rsidP="0031712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317125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006FD5" w:rsidRDefault="00006FD5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міське управління ДСНС України в Луганській обл.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0172" w:rsidRPr="00A55BCE" w:rsidRDefault="00160172" w:rsidP="00160172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006FD5" w:rsidRDefault="00006FD5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006FD5" w:rsidRPr="00A55BCE" w:rsidRDefault="00006FD5" w:rsidP="006C280E">
            <w:pPr>
              <w:tabs>
                <w:tab w:val="left" w:pos="1451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6FD5" w:rsidRPr="005F3232" w:rsidTr="00F127BD">
        <w:trPr>
          <w:trHeight w:val="465"/>
        </w:trPr>
        <w:tc>
          <w:tcPr>
            <w:tcW w:w="425" w:type="dxa"/>
            <w:vMerge/>
          </w:tcPr>
          <w:p w:rsidR="00006FD5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006FD5" w:rsidRPr="001756E8" w:rsidRDefault="00006FD5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160172" w:rsidRPr="001756E8" w:rsidRDefault="00006FD5" w:rsidP="0016017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2.5. </w:t>
            </w:r>
            <w:r w:rsidR="00160172" w:rsidRPr="001756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Здійснення санепіднагляду </w:t>
            </w:r>
            <w:r w:rsidR="00160172">
              <w:rPr>
                <w:rFonts w:ascii="Times New Roman" w:hAnsi="Times New Roman"/>
                <w:sz w:val="20"/>
                <w:szCs w:val="20"/>
                <w:lang w:val="uk-UA"/>
              </w:rPr>
              <w:t>та дотримання  вимог законодавства України у сфері безпечності та окремих показників якості харчових продуктів в</w:t>
            </w:r>
            <w:r w:rsidR="00160172" w:rsidRPr="001756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дитячи</w:t>
            </w:r>
            <w:r w:rsidR="001601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закладах оздоровлення та відпочинку міста. </w:t>
            </w:r>
          </w:p>
          <w:p w:rsidR="00006FD5" w:rsidRPr="001756E8" w:rsidRDefault="00006FD5" w:rsidP="006C280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06FD5" w:rsidRDefault="00006FD5" w:rsidP="00A55BC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Травень-Серпень</w:t>
            </w:r>
          </w:p>
          <w:p w:rsidR="00006FD5" w:rsidRDefault="00006FD5" w:rsidP="0031712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317125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006FD5" w:rsidRDefault="00EF1B80" w:rsidP="00F55A9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Держпродспоживслужби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м. Сєвєродонецьку.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6FD5" w:rsidRPr="00A55BCE" w:rsidRDefault="00006FD5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0172" w:rsidRPr="00A55BCE" w:rsidRDefault="00160172" w:rsidP="00160172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5BCE">
              <w:rPr>
                <w:sz w:val="20"/>
                <w:szCs w:val="20"/>
              </w:rPr>
              <w:t>е потребує фінансу</w:t>
            </w:r>
            <w:r>
              <w:rPr>
                <w:sz w:val="20"/>
                <w:szCs w:val="20"/>
              </w:rPr>
              <w:t>ва</w:t>
            </w:r>
            <w:r w:rsidRPr="00A55BCE">
              <w:rPr>
                <w:sz w:val="20"/>
                <w:szCs w:val="20"/>
              </w:rPr>
              <w:t>ння</w:t>
            </w:r>
          </w:p>
          <w:p w:rsidR="00006FD5" w:rsidRDefault="00006FD5" w:rsidP="00B526ED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006FD5" w:rsidRPr="00A55BCE" w:rsidRDefault="00006FD5" w:rsidP="006C280E">
            <w:pPr>
              <w:tabs>
                <w:tab w:val="left" w:pos="1451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47F23" w:rsidRPr="00D230FF" w:rsidTr="00CC5615">
        <w:trPr>
          <w:trHeight w:val="1884"/>
        </w:trPr>
        <w:tc>
          <w:tcPr>
            <w:tcW w:w="425" w:type="dxa"/>
            <w:vMerge w:val="restart"/>
          </w:tcPr>
          <w:p w:rsidR="00347F23" w:rsidRPr="00A55BCE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2552" w:type="dxa"/>
            <w:vMerge w:val="restart"/>
          </w:tcPr>
          <w:p w:rsidR="00347F23" w:rsidRPr="001756E8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3.1.Надання послуг з оздоровлення та відпочинку дітям, які потребують особливої уваги та підтримки.</w:t>
            </w:r>
          </w:p>
        </w:tc>
        <w:tc>
          <w:tcPr>
            <w:tcW w:w="2907" w:type="dxa"/>
          </w:tcPr>
          <w:p w:rsidR="00CC5615" w:rsidRDefault="00347F23" w:rsidP="00CC561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3.1.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Забезпечення оздоровлення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відпочинку </w:t>
            </w:r>
            <w:r w:rsidR="00EF1B80">
              <w:rPr>
                <w:rFonts w:ascii="Times New Roman" w:hAnsi="Times New Roman"/>
                <w:sz w:val="20"/>
                <w:szCs w:val="20"/>
                <w:lang w:val="uk-UA"/>
              </w:rPr>
              <w:t>дітей, які потребують особливої</w:t>
            </w:r>
            <w:r w:rsidR="00310C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соціальної уваги та підтримки, згідно Закону України </w:t>
            </w:r>
            <w:r w:rsidR="00310CC9" w:rsidRPr="00310CC9">
              <w:rPr>
                <w:rFonts w:ascii="Times New Roman" w:hAnsi="Times New Roman"/>
                <w:sz w:val="20"/>
                <w:szCs w:val="20"/>
                <w:lang w:val="uk-UA"/>
              </w:rPr>
              <w:t>«Про внесення змін до деяких законодавчих актів України щодо організації оздоровлення та відпочинку дітей, збереження мережі дитячих оздоровчих закладів» від 06 червня 2017 року № 2081-</w:t>
            </w:r>
            <w:r w:rsidR="00310CC9" w:rsidRPr="00310CC9">
              <w:rPr>
                <w:rFonts w:ascii="Times New Roman" w:hAnsi="Times New Roman"/>
                <w:sz w:val="20"/>
                <w:szCs w:val="20"/>
              </w:rPr>
              <w:t>V</w:t>
            </w:r>
            <w:r w:rsidR="00310CC9" w:rsidRPr="00310CC9">
              <w:rPr>
                <w:rFonts w:ascii="Times New Roman" w:hAnsi="Times New Roman"/>
                <w:sz w:val="20"/>
                <w:szCs w:val="20"/>
                <w:lang w:val="uk-UA"/>
              </w:rPr>
              <w:t>ІІІ</w:t>
            </w:r>
            <w:r w:rsidR="00310C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310CC9" w:rsidRPr="00A55BCE" w:rsidRDefault="00310CC9" w:rsidP="00CC561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347F23" w:rsidRPr="00A55BCE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244" w:type="dxa"/>
          </w:tcPr>
          <w:p w:rsidR="00347F23" w:rsidRPr="00A55BCE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молоді та спорту, відділ освіти, </w:t>
            </w:r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охорони здоров</w:t>
            </w:r>
            <w:r w:rsidRPr="009B2E3D"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я, С ДЮК «Юність», підприємства та організації міста</w:t>
            </w:r>
          </w:p>
        </w:tc>
        <w:tc>
          <w:tcPr>
            <w:tcW w:w="1134" w:type="dxa"/>
          </w:tcPr>
          <w:p w:rsidR="00347F23" w:rsidRPr="00A55BCE" w:rsidRDefault="001A1DC1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бюджет</w:t>
            </w:r>
          </w:p>
          <w:p w:rsidR="00347F23" w:rsidRPr="00A55BCE" w:rsidRDefault="00347F23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7F23" w:rsidRPr="00A55BCE" w:rsidRDefault="001A1DC1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освіти, відділ молоді та спорту, СДЮК «Юність»</w:t>
            </w:r>
          </w:p>
        </w:tc>
        <w:tc>
          <w:tcPr>
            <w:tcW w:w="1701" w:type="dxa"/>
          </w:tcPr>
          <w:p w:rsidR="00347F23" w:rsidRPr="00A55BCE" w:rsidRDefault="001A1DC1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Фінансування в межах проектів, бюджетних запитів організацій-партерів (відділ освіти, відділ молоді та спорту, СДЮК «Юність»)</w:t>
            </w:r>
          </w:p>
        </w:tc>
        <w:tc>
          <w:tcPr>
            <w:tcW w:w="1708" w:type="dxa"/>
          </w:tcPr>
          <w:p w:rsidR="00347F23" w:rsidRPr="00A55BCE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47F23" w:rsidRPr="00A55BCE" w:rsidTr="00F127BD">
        <w:trPr>
          <w:trHeight w:val="2325"/>
        </w:trPr>
        <w:tc>
          <w:tcPr>
            <w:tcW w:w="425" w:type="dxa"/>
            <w:vMerge/>
          </w:tcPr>
          <w:p w:rsidR="00347F23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347F23" w:rsidRPr="00006FD5" w:rsidRDefault="00347F23" w:rsidP="00986B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347F23" w:rsidRDefault="00347F23" w:rsidP="009111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 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Придбання путівок до дитячих оздоровчих закладів області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інших регіонів України </w:t>
            </w:r>
            <w:r w:rsidRPr="00A55BCE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міс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ького бюджету, інших, не заборонених законодавством коштів, в тому числі коштів підприємств міста.</w:t>
            </w:r>
          </w:p>
        </w:tc>
        <w:tc>
          <w:tcPr>
            <w:tcW w:w="1080" w:type="dxa"/>
          </w:tcPr>
          <w:p w:rsidR="00347F23" w:rsidRDefault="00347F23" w:rsidP="002E4A5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2E4A50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244" w:type="dxa"/>
          </w:tcPr>
          <w:p w:rsidR="00347F23" w:rsidRDefault="00347F23" w:rsidP="00D56B2C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молоді та спорту, відділ освіти, </w:t>
            </w:r>
            <w:r w:rsidR="00D56B2C">
              <w:rPr>
                <w:rFonts w:ascii="Times New Roman" w:hAnsi="Times New Roman"/>
                <w:sz w:val="20"/>
                <w:szCs w:val="20"/>
                <w:lang w:val="uk-UA"/>
              </w:rPr>
              <w:t>СДЮК «Юність»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підприємства та організації міста</w:t>
            </w:r>
          </w:p>
        </w:tc>
        <w:tc>
          <w:tcPr>
            <w:tcW w:w="1134" w:type="dxa"/>
          </w:tcPr>
          <w:p w:rsidR="00347F23" w:rsidRPr="00A55BCE" w:rsidRDefault="00347F23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126" w:type="dxa"/>
          </w:tcPr>
          <w:p w:rsidR="00347F23" w:rsidRDefault="00347F23" w:rsidP="009111B1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молоді та спорту</w:t>
            </w:r>
          </w:p>
          <w:p w:rsidR="00347F23" w:rsidRDefault="00347F23" w:rsidP="009111B1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  <w:p w:rsidR="00347F23" w:rsidRDefault="00347F23" w:rsidP="009111B1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</w:t>
            </w:r>
          </w:p>
          <w:p w:rsidR="00CC06FC" w:rsidRDefault="00CC06FC" w:rsidP="009111B1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  <w:p w:rsidR="00347F23" w:rsidRPr="00A55BCE" w:rsidRDefault="002E4A50" w:rsidP="009111B1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ДЮК «Юність»</w:t>
            </w:r>
          </w:p>
        </w:tc>
        <w:tc>
          <w:tcPr>
            <w:tcW w:w="1701" w:type="dxa"/>
          </w:tcPr>
          <w:p w:rsidR="00347F23" w:rsidRDefault="00A431E8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198,99</w:t>
            </w:r>
          </w:p>
          <w:p w:rsidR="00347F23" w:rsidRDefault="00347F23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347F23" w:rsidRDefault="00347F23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2E4A50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198,99</w:t>
            </w:r>
          </w:p>
          <w:p w:rsidR="00BB5B22" w:rsidRDefault="00BB5B22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2E4A50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198,99</w:t>
            </w:r>
          </w:p>
          <w:p w:rsidR="00347F23" w:rsidRPr="00A55BCE" w:rsidRDefault="00347F23" w:rsidP="00986BCA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347F23" w:rsidRPr="00A55BCE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47F23" w:rsidRPr="005F3232" w:rsidTr="00F127BD">
        <w:trPr>
          <w:trHeight w:val="795"/>
        </w:trPr>
        <w:tc>
          <w:tcPr>
            <w:tcW w:w="425" w:type="dxa"/>
            <w:vMerge/>
          </w:tcPr>
          <w:p w:rsidR="00347F23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347F23" w:rsidRPr="00006FD5" w:rsidRDefault="00347F23" w:rsidP="00986B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347F23" w:rsidRDefault="00347F23" w:rsidP="009111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3.3. Реалізація проектів літньої оздоровчої кампанії </w:t>
            </w:r>
            <w:r w:rsidR="00BB5B22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2E4A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8 </w:t>
            </w:r>
            <w:r w:rsidR="00BB5B22">
              <w:rPr>
                <w:rFonts w:ascii="Times New Roman" w:hAnsi="Times New Roman"/>
                <w:sz w:val="20"/>
                <w:szCs w:val="20"/>
                <w:lang w:val="uk-UA"/>
              </w:rPr>
              <w:t>року та організація  гарячого харчування  в таборах з денним перебуванням.</w:t>
            </w:r>
          </w:p>
          <w:p w:rsidR="00347F23" w:rsidRPr="00A55BCE" w:rsidRDefault="00347F23" w:rsidP="009111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347F23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Червень-серпень</w:t>
            </w:r>
          </w:p>
          <w:p w:rsidR="00347F23" w:rsidRDefault="00347F23" w:rsidP="002E4A5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2E4A50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44" w:type="dxa"/>
          </w:tcPr>
          <w:p w:rsidR="00347F23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молоді та спорту</w:t>
            </w:r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відділ освіти, </w:t>
            </w:r>
            <w:proofErr w:type="spellStart"/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>КУ</w:t>
            </w:r>
            <w:proofErr w:type="spellEnd"/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="00F36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методичний центр», С ДЮК «Юність»</w:t>
            </w:r>
            <w:r w:rsidR="002E4A50">
              <w:rPr>
                <w:rFonts w:ascii="Times New Roman" w:hAnsi="Times New Roman"/>
                <w:sz w:val="20"/>
                <w:szCs w:val="20"/>
                <w:lang w:val="uk-UA"/>
              </w:rPr>
              <w:t>, СДЮСТШ ВВС «Садко»</w:t>
            </w:r>
          </w:p>
        </w:tc>
        <w:tc>
          <w:tcPr>
            <w:tcW w:w="1134" w:type="dxa"/>
          </w:tcPr>
          <w:p w:rsidR="00347F23" w:rsidRDefault="00347F23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2126" w:type="dxa"/>
          </w:tcPr>
          <w:p w:rsidR="00347F23" w:rsidRDefault="00347F23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молоді та спорту</w:t>
            </w:r>
            <w:r w:rsidR="002E4A50">
              <w:rPr>
                <w:sz w:val="20"/>
                <w:szCs w:val="20"/>
              </w:rPr>
              <w:t xml:space="preserve"> (проект «Рекордний відпочинок»)</w:t>
            </w:r>
          </w:p>
          <w:p w:rsidR="002E4A50" w:rsidRDefault="002E4A50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  <w:p w:rsidR="002E4A50" w:rsidRDefault="002E4A50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СДЮСТШ ВВС «Садко» (проект «Рекордний відпочинок»)</w:t>
            </w:r>
          </w:p>
          <w:p w:rsidR="00347F23" w:rsidRDefault="00347F23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  <w:p w:rsidR="00347F23" w:rsidRDefault="00347F23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освіти</w:t>
            </w:r>
            <w:r w:rsidR="002E4A50">
              <w:rPr>
                <w:sz w:val="20"/>
                <w:szCs w:val="20"/>
              </w:rPr>
              <w:t xml:space="preserve"> (харчування в таборах з денним перебуванням)</w:t>
            </w:r>
          </w:p>
          <w:p w:rsidR="00CC06FC" w:rsidRDefault="00CC06FC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  <w:p w:rsidR="00CC06FC" w:rsidRDefault="00CC06FC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ДЮК «Юність»</w:t>
            </w:r>
          </w:p>
          <w:p w:rsidR="002E4A50" w:rsidRDefault="002E4A50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  <w:p w:rsidR="002E4A50" w:rsidRDefault="002E4A50" w:rsidP="002E4A50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«Мовно-фольклорний табір на базі СМ </w:t>
            </w:r>
            <w:r>
              <w:rPr>
                <w:sz w:val="20"/>
                <w:szCs w:val="20"/>
              </w:rPr>
              <w:lastRenderedPageBreak/>
              <w:t>ЦДЮТ»</w:t>
            </w:r>
          </w:p>
          <w:p w:rsidR="002E4A50" w:rsidRDefault="002E4A50" w:rsidP="002E4A50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  <w:p w:rsidR="002E4A50" w:rsidRDefault="002E4A50" w:rsidP="002E4A50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«Літня школа для обдарованих дітей з природничо-математичного напрямку у м. </w:t>
            </w:r>
            <w:proofErr w:type="spellStart"/>
            <w:r>
              <w:rPr>
                <w:sz w:val="20"/>
                <w:szCs w:val="20"/>
              </w:rPr>
              <w:t>Сєвєродонецьку</w:t>
            </w:r>
            <w:proofErr w:type="spellEnd"/>
            <w:r>
              <w:rPr>
                <w:sz w:val="20"/>
                <w:szCs w:val="20"/>
              </w:rPr>
              <w:t>»,</w:t>
            </w:r>
          </w:p>
          <w:p w:rsidR="002E4A50" w:rsidRDefault="002E4A50" w:rsidP="002E4A50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Сєвєродонецький</w:t>
            </w:r>
            <w:proofErr w:type="spellEnd"/>
            <w:r>
              <w:rPr>
                <w:sz w:val="20"/>
                <w:szCs w:val="20"/>
              </w:rPr>
              <w:t xml:space="preserve"> табір лідерів»</w:t>
            </w:r>
          </w:p>
        </w:tc>
        <w:tc>
          <w:tcPr>
            <w:tcW w:w="1701" w:type="dxa"/>
          </w:tcPr>
          <w:p w:rsidR="00347F23" w:rsidRDefault="00347F23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199,0</w:t>
            </w:r>
          </w:p>
          <w:p w:rsidR="00CC06FC" w:rsidRDefault="00CC06FC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CC06FC" w:rsidRDefault="00CC06FC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39,782</w:t>
            </w:r>
          </w:p>
          <w:p w:rsidR="002E4A50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CC06FC" w:rsidRPr="00CC06FC" w:rsidRDefault="002E4A50" w:rsidP="00CC06FC">
            <w:pPr>
              <w:pStyle w:val="3"/>
              <w:tabs>
                <w:tab w:val="clear" w:pos="916"/>
                <w:tab w:val="clear" w:pos="8244"/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355,6</w:t>
            </w:r>
          </w:p>
          <w:p w:rsidR="00CC06FC" w:rsidRDefault="00CC06FC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CC06FC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2E4A50" w:rsidRDefault="002E4A50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10,37</w:t>
            </w: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  <w:p w:rsidR="00E06155" w:rsidRPr="00E06155" w:rsidRDefault="00E06155" w:rsidP="00BC0919">
            <w:pPr>
              <w:pStyle w:val="3"/>
              <w:tabs>
                <w:tab w:val="left" w:pos="-540"/>
                <w:tab w:val="left" w:pos="81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1 327,722</w:t>
            </w:r>
          </w:p>
        </w:tc>
        <w:tc>
          <w:tcPr>
            <w:tcW w:w="1708" w:type="dxa"/>
          </w:tcPr>
          <w:p w:rsidR="00347F23" w:rsidRPr="00A55BCE" w:rsidRDefault="00347F23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844B4" w:rsidRPr="001756E8" w:rsidTr="00F127BD">
        <w:trPr>
          <w:trHeight w:val="2220"/>
        </w:trPr>
        <w:tc>
          <w:tcPr>
            <w:tcW w:w="425" w:type="dxa"/>
            <w:vMerge w:val="restart"/>
          </w:tcPr>
          <w:p w:rsidR="007844B4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2552" w:type="dxa"/>
            <w:vMerge w:val="restart"/>
          </w:tcPr>
          <w:p w:rsidR="007844B4" w:rsidRPr="001756E8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6E8">
              <w:rPr>
                <w:rFonts w:ascii="Times New Roman" w:hAnsi="Times New Roman"/>
                <w:sz w:val="20"/>
                <w:szCs w:val="20"/>
                <w:lang w:val="uk-UA"/>
              </w:rPr>
              <w:t>4.1.Забезпечення функціонування мережі дитячих оздоровчих закладів, недопущення її скорочення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07" w:type="dxa"/>
          </w:tcPr>
          <w:p w:rsidR="007844B4" w:rsidRDefault="00853263" w:rsidP="00DB40D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4.1. Відновлення роботи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</w:t>
            </w:r>
            <w:r w:rsidR="007844B4" w:rsidRPr="00A55BCE">
              <w:rPr>
                <w:rFonts w:ascii="Times New Roman" w:hAnsi="Times New Roman"/>
                <w:sz w:val="20"/>
                <w:szCs w:val="20"/>
                <w:lang w:val="uk-UA"/>
              </w:rPr>
              <w:t>функціонуючих</w:t>
            </w:r>
            <w:proofErr w:type="spellEnd"/>
            <w:r w:rsidR="007844B4" w:rsidRPr="00A55B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7844B4">
              <w:rPr>
                <w:rFonts w:ascii="Times New Roman" w:hAnsi="Times New Roman"/>
                <w:sz w:val="20"/>
                <w:szCs w:val="20"/>
                <w:lang w:val="uk-UA"/>
              </w:rPr>
              <w:t>позаміських закладів оздоровлення та відпочинку (ДЗОВ «Альянс» комуна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льної форми власності, ДЗОВ ім.</w:t>
            </w:r>
            <w:r w:rsidR="007844B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Ю.О.Гагаріна </w:t>
            </w:r>
            <w:proofErr w:type="spellStart"/>
            <w:r w:rsidR="007844B4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 w:rsidR="007844B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 w:rsidR="00010B9A"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Сєвєродонецьке</w:t>
            </w:r>
            <w:proofErr w:type="spellEnd"/>
            <w:r w:rsidR="00010B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</w:t>
            </w:r>
            <w:r w:rsidR="00010B9A">
              <w:rPr>
                <w:rFonts w:ascii="Times New Roman" w:hAnsi="Times New Roman"/>
                <w:sz w:val="20"/>
                <w:szCs w:val="20"/>
              </w:rPr>
              <w:t>’</w:t>
            </w:r>
            <w:r w:rsidR="00010B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єднання </w:t>
            </w:r>
            <w:r w:rsidR="007844B4">
              <w:rPr>
                <w:rFonts w:ascii="Times New Roman" w:hAnsi="Times New Roman"/>
                <w:sz w:val="20"/>
                <w:szCs w:val="20"/>
                <w:lang w:val="uk-UA"/>
              </w:rPr>
              <w:t>Азот»).</w:t>
            </w:r>
          </w:p>
          <w:p w:rsidR="007844B4" w:rsidRPr="00A55BCE" w:rsidRDefault="007844B4" w:rsidP="00DB40D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7844B4" w:rsidRDefault="007844B4" w:rsidP="00F4309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F43098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244" w:type="dxa"/>
          </w:tcPr>
          <w:p w:rsidR="007844B4" w:rsidRPr="007844B4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Сєвєродонецька міська рада,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</w:t>
            </w:r>
            <w:r w:rsidRPr="007844B4"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єднання Азот»</w:t>
            </w:r>
            <w:r w:rsidR="00010B9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</w:tcPr>
          <w:p w:rsidR="007844B4" w:rsidRDefault="007844B4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44B4" w:rsidRDefault="007844B4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844B4" w:rsidRDefault="007844B4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наявністю фінансування</w:t>
            </w:r>
          </w:p>
        </w:tc>
        <w:tc>
          <w:tcPr>
            <w:tcW w:w="1708" w:type="dxa"/>
          </w:tcPr>
          <w:p w:rsidR="007844B4" w:rsidRPr="00A55BCE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844B4" w:rsidRPr="005F3232" w:rsidTr="00F127BD">
        <w:trPr>
          <w:trHeight w:val="295"/>
        </w:trPr>
        <w:tc>
          <w:tcPr>
            <w:tcW w:w="425" w:type="dxa"/>
            <w:vMerge/>
          </w:tcPr>
          <w:p w:rsidR="007844B4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7844B4" w:rsidRPr="001756E8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7844B4" w:rsidRDefault="007844B4" w:rsidP="00DB40D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4.2.  Розвиток мережі таборів з денним перебуванням на базі відділу освіти, відділу молоді та спорту, СДЮК «Юність» та ін.</w:t>
            </w:r>
          </w:p>
        </w:tc>
        <w:tc>
          <w:tcPr>
            <w:tcW w:w="1080" w:type="dxa"/>
          </w:tcPr>
          <w:p w:rsidR="007844B4" w:rsidRDefault="007844B4" w:rsidP="00F4309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F43098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244" w:type="dxa"/>
          </w:tcPr>
          <w:p w:rsidR="007844B4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освіти, відділ молоді та спорту, СДЮК «Юність»</w:t>
            </w:r>
            <w:r w:rsidR="00010B9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</w:tcPr>
          <w:p w:rsidR="007844B4" w:rsidRDefault="007844B4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44B4" w:rsidRDefault="007844B4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844B4" w:rsidRDefault="001A1DC1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потребує фінансування</w:t>
            </w:r>
          </w:p>
        </w:tc>
        <w:tc>
          <w:tcPr>
            <w:tcW w:w="1708" w:type="dxa"/>
          </w:tcPr>
          <w:p w:rsidR="007844B4" w:rsidRPr="00A55BCE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756E8" w:rsidRPr="00F3685B" w:rsidTr="00F127BD">
        <w:trPr>
          <w:trHeight w:val="340"/>
        </w:trPr>
        <w:tc>
          <w:tcPr>
            <w:tcW w:w="425" w:type="dxa"/>
          </w:tcPr>
          <w:p w:rsidR="001756E8" w:rsidRDefault="001756E8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2552" w:type="dxa"/>
          </w:tcPr>
          <w:p w:rsidR="007844B4" w:rsidRPr="007844B4" w:rsidRDefault="007844B4" w:rsidP="007844B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4B4">
              <w:rPr>
                <w:rFonts w:ascii="Times New Roman" w:hAnsi="Times New Roman"/>
                <w:sz w:val="20"/>
                <w:szCs w:val="20"/>
                <w:lang w:val="uk-UA"/>
              </w:rPr>
              <w:t>5.1. Співробітництво в рамках організації та проведення оздоровчої кампанії.</w:t>
            </w:r>
          </w:p>
          <w:p w:rsidR="001756E8" w:rsidRPr="001756E8" w:rsidRDefault="001756E8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7" w:type="dxa"/>
          </w:tcPr>
          <w:p w:rsidR="001756E8" w:rsidRDefault="007844B4" w:rsidP="00DB40D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5.1. Співпраця з іншими регіонами України щодо оздоровлення дітей пільгових категорій.</w:t>
            </w:r>
          </w:p>
        </w:tc>
        <w:tc>
          <w:tcPr>
            <w:tcW w:w="1080" w:type="dxa"/>
          </w:tcPr>
          <w:p w:rsidR="001756E8" w:rsidRDefault="007844B4" w:rsidP="00F4309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F43098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244" w:type="dxa"/>
          </w:tcPr>
          <w:p w:rsidR="001756E8" w:rsidRDefault="007844B4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молоді та спорту, відділ освіти</w:t>
            </w:r>
          </w:p>
        </w:tc>
        <w:tc>
          <w:tcPr>
            <w:tcW w:w="1134" w:type="dxa"/>
          </w:tcPr>
          <w:p w:rsidR="001756E8" w:rsidRDefault="001756E8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756E8" w:rsidRDefault="001756E8" w:rsidP="009111B1">
            <w:pPr>
              <w:pStyle w:val="3"/>
              <w:tabs>
                <w:tab w:val="left" w:pos="-540"/>
                <w:tab w:val="left" w:pos="810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756E8" w:rsidRDefault="00A52C7C" w:rsidP="00986BCA">
            <w:pPr>
              <w:pStyle w:val="3"/>
              <w:tabs>
                <w:tab w:val="left" w:pos="-540"/>
                <w:tab w:val="left" w:pos="8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Благодійні кошти, кошти батьків</w:t>
            </w:r>
          </w:p>
        </w:tc>
        <w:tc>
          <w:tcPr>
            <w:tcW w:w="1708" w:type="dxa"/>
          </w:tcPr>
          <w:p w:rsidR="001756E8" w:rsidRPr="00A55BCE" w:rsidRDefault="001756E8" w:rsidP="00986BC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7844B4" w:rsidRPr="00030007" w:rsidRDefault="007844B4" w:rsidP="007844B4">
      <w:pPr>
        <w:rPr>
          <w:b/>
          <w:lang w:val="uk-UA"/>
        </w:rPr>
      </w:pPr>
    </w:p>
    <w:p w:rsidR="008D281B" w:rsidRDefault="008D281B" w:rsidP="008D281B">
      <w:pPr>
        <w:jc w:val="center"/>
        <w:rPr>
          <w:b/>
          <w:lang w:val="uk-UA"/>
        </w:rPr>
      </w:pPr>
    </w:p>
    <w:p w:rsidR="008D281B" w:rsidRPr="0074354E" w:rsidRDefault="00D230FF" w:rsidP="00D230FF">
      <w:pPr>
        <w:ind w:left="2124" w:firstLine="708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В.В. </w:t>
      </w:r>
      <w:proofErr w:type="spellStart"/>
      <w:r>
        <w:rPr>
          <w:b/>
          <w:lang w:val="uk-UA"/>
        </w:rPr>
        <w:t>Казаков</w:t>
      </w:r>
      <w:proofErr w:type="spellEnd"/>
    </w:p>
    <w:p w:rsidR="008D281B" w:rsidRPr="00387E3F" w:rsidRDefault="008D281B" w:rsidP="008D281B">
      <w:pPr>
        <w:rPr>
          <w:lang w:val="uk-UA"/>
        </w:rPr>
      </w:pPr>
    </w:p>
    <w:p w:rsidR="00185CCD" w:rsidRPr="001A1DC1" w:rsidRDefault="001A1DC1" w:rsidP="00D230FF">
      <w:pPr>
        <w:rPr>
          <w:b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sectPr w:rsidR="00185CCD" w:rsidRPr="001A1DC1" w:rsidSect="001A1DC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C6B53"/>
    <w:multiLevelType w:val="hybridMultilevel"/>
    <w:tmpl w:val="F9364DB6"/>
    <w:lvl w:ilvl="0" w:tplc="83F2612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81B"/>
    <w:rsid w:val="00006FD5"/>
    <w:rsid w:val="00010B9A"/>
    <w:rsid w:val="000933C9"/>
    <w:rsid w:val="00094DE7"/>
    <w:rsid w:val="00145DB4"/>
    <w:rsid w:val="00160172"/>
    <w:rsid w:val="001756E8"/>
    <w:rsid w:val="00185CCD"/>
    <w:rsid w:val="0018755E"/>
    <w:rsid w:val="001A1DC1"/>
    <w:rsid w:val="002339C5"/>
    <w:rsid w:val="002A5650"/>
    <w:rsid w:val="002C6199"/>
    <w:rsid w:val="002D24E3"/>
    <w:rsid w:val="002E4A50"/>
    <w:rsid w:val="00310CC9"/>
    <w:rsid w:val="00317125"/>
    <w:rsid w:val="00347F23"/>
    <w:rsid w:val="00364409"/>
    <w:rsid w:val="00367534"/>
    <w:rsid w:val="003E0620"/>
    <w:rsid w:val="004A7F08"/>
    <w:rsid w:val="005430C2"/>
    <w:rsid w:val="00553E7F"/>
    <w:rsid w:val="005D7CB3"/>
    <w:rsid w:val="005E5B0B"/>
    <w:rsid w:val="005F1508"/>
    <w:rsid w:val="005F3232"/>
    <w:rsid w:val="005F3B65"/>
    <w:rsid w:val="006060E7"/>
    <w:rsid w:val="00610CA8"/>
    <w:rsid w:val="00630295"/>
    <w:rsid w:val="006809AE"/>
    <w:rsid w:val="006C280E"/>
    <w:rsid w:val="007844B4"/>
    <w:rsid w:val="007F021B"/>
    <w:rsid w:val="00820FB4"/>
    <w:rsid w:val="00850A79"/>
    <w:rsid w:val="00853263"/>
    <w:rsid w:val="00891423"/>
    <w:rsid w:val="008D281B"/>
    <w:rsid w:val="008D42EC"/>
    <w:rsid w:val="009111B1"/>
    <w:rsid w:val="00950345"/>
    <w:rsid w:val="009B2E3D"/>
    <w:rsid w:val="009F4B7E"/>
    <w:rsid w:val="00A108E8"/>
    <w:rsid w:val="00A431E8"/>
    <w:rsid w:val="00A52C7C"/>
    <w:rsid w:val="00A55BCE"/>
    <w:rsid w:val="00A9414E"/>
    <w:rsid w:val="00AC028E"/>
    <w:rsid w:val="00AC5783"/>
    <w:rsid w:val="00AD12AB"/>
    <w:rsid w:val="00AF0D63"/>
    <w:rsid w:val="00B22597"/>
    <w:rsid w:val="00B526ED"/>
    <w:rsid w:val="00B62A11"/>
    <w:rsid w:val="00B63A24"/>
    <w:rsid w:val="00BB5B22"/>
    <w:rsid w:val="00BC0919"/>
    <w:rsid w:val="00BC32E5"/>
    <w:rsid w:val="00C82164"/>
    <w:rsid w:val="00CC06FC"/>
    <w:rsid w:val="00CC5615"/>
    <w:rsid w:val="00D05B5D"/>
    <w:rsid w:val="00D230FF"/>
    <w:rsid w:val="00D56B2C"/>
    <w:rsid w:val="00D637E9"/>
    <w:rsid w:val="00D771E4"/>
    <w:rsid w:val="00DB40DB"/>
    <w:rsid w:val="00E06155"/>
    <w:rsid w:val="00E17EB6"/>
    <w:rsid w:val="00E82970"/>
    <w:rsid w:val="00E8435E"/>
    <w:rsid w:val="00EB59AA"/>
    <w:rsid w:val="00EF1B80"/>
    <w:rsid w:val="00F127BD"/>
    <w:rsid w:val="00F2622A"/>
    <w:rsid w:val="00F3685B"/>
    <w:rsid w:val="00F43098"/>
    <w:rsid w:val="00F5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1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8435E"/>
    <w:pPr>
      <w:keepNext/>
      <w:jc w:val="center"/>
      <w:outlineLvl w:val="0"/>
    </w:pPr>
    <w:rPr>
      <w:rFonts w:ascii="Times New Roman" w:hAnsi="Times New Roman"/>
      <w:b/>
      <w:bCs/>
      <w:sz w:val="28"/>
      <w:szCs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81B"/>
    <w:pPr>
      <w:ind w:left="720"/>
      <w:contextualSpacing/>
    </w:pPr>
    <w:rPr>
      <w:rFonts w:asciiTheme="minorHAnsi" w:eastAsiaTheme="minorEastAsia" w:hAnsiTheme="minorHAnsi"/>
    </w:rPr>
  </w:style>
  <w:style w:type="table" w:styleId="a4">
    <w:name w:val="Table Grid"/>
    <w:basedOn w:val="a1"/>
    <w:uiPriority w:val="59"/>
    <w:rsid w:val="008D281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8435E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3">
    <w:name w:val="Body Text 3"/>
    <w:basedOn w:val="a"/>
    <w:link w:val="30"/>
    <w:rsid w:val="00E84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Times New Roman" w:hAnsi="Times New Roman"/>
      <w:color w:val="000000"/>
      <w:sz w:val="28"/>
      <w:szCs w:val="21"/>
      <w:lang w:val="uk-UA" w:eastAsia="ru-RU" w:bidi="ar-SA"/>
    </w:rPr>
  </w:style>
  <w:style w:type="character" w:customStyle="1" w:styleId="30">
    <w:name w:val="Основной текст 3 Знак"/>
    <w:basedOn w:val="a0"/>
    <w:link w:val="3"/>
    <w:rsid w:val="00E8435E"/>
    <w:rPr>
      <w:rFonts w:ascii="Times New Roman" w:eastAsia="Times New Roman" w:hAnsi="Times New Roman" w:cs="Times New Roman"/>
      <w:color w:val="000000"/>
      <w:sz w:val="28"/>
      <w:szCs w:val="21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buh</cp:lastModifiedBy>
  <cp:revision>8</cp:revision>
  <cp:lastPrinted>2018-01-18T16:22:00Z</cp:lastPrinted>
  <dcterms:created xsi:type="dcterms:W3CDTF">2017-11-30T13:33:00Z</dcterms:created>
  <dcterms:modified xsi:type="dcterms:W3CDTF">2018-02-02T21:07:00Z</dcterms:modified>
</cp:coreProperties>
</file>