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34911" w:rsidRPr="00034911" w:rsidRDefault="00034911" w:rsidP="00034911">
      <w:pPr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034911" w:rsidRPr="00034911" w:rsidRDefault="00034911" w:rsidP="00034911">
      <w:pPr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0F6C54">
        <w:rPr>
          <w:rFonts w:ascii="Times New Roman" w:hAnsi="Times New Roman" w:cs="Times New Roman"/>
          <w:sz w:val="24"/>
          <w:szCs w:val="24"/>
          <w:lang w:val="uk-UA"/>
        </w:rPr>
        <w:t xml:space="preserve">75-ої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сесії міської ради </w:t>
      </w:r>
    </w:p>
    <w:p w:rsidR="00034911" w:rsidRPr="00034911" w:rsidRDefault="002E2C6E" w:rsidP="00034911">
      <w:pPr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3212 від 29.11.2013</w:t>
      </w:r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Затверджено: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Затверджено: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Погоджено</w:t>
      </w:r>
    </w:p>
    <w:p w:rsidR="00034911" w:rsidRPr="00034911" w:rsidRDefault="00034911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Загальними зборами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Рішенням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Начальник відділу</w:t>
      </w:r>
      <w:r w:rsidR="0028445C">
        <w:rPr>
          <w:rFonts w:ascii="Times New Roman" w:hAnsi="Times New Roman" w:cs="Times New Roman"/>
          <w:sz w:val="24"/>
          <w:szCs w:val="24"/>
          <w:lang w:val="uk-UA"/>
        </w:rPr>
        <w:t xml:space="preserve"> у справах</w:t>
      </w:r>
    </w:p>
    <w:p w:rsidR="00034911" w:rsidRPr="00034911" w:rsidRDefault="00034911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трудового колективу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міської ради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28445C">
        <w:rPr>
          <w:rFonts w:ascii="Times New Roman" w:hAnsi="Times New Roman" w:cs="Times New Roman"/>
          <w:sz w:val="24"/>
          <w:szCs w:val="24"/>
          <w:lang w:val="uk-UA"/>
        </w:rPr>
        <w:t xml:space="preserve">сім’ї,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>молоді</w:t>
      </w:r>
      <w:r w:rsidR="0028445C" w:rsidRPr="002844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445C" w:rsidRPr="00034911">
        <w:rPr>
          <w:rFonts w:ascii="Times New Roman" w:hAnsi="Times New Roman" w:cs="Times New Roman"/>
          <w:sz w:val="24"/>
          <w:szCs w:val="24"/>
          <w:lang w:val="uk-UA"/>
        </w:rPr>
        <w:t>та спорту</w:t>
      </w:r>
    </w:p>
    <w:p w:rsidR="00034911" w:rsidRPr="00034911" w:rsidRDefault="002E2C6E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4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 3212 від 29.11.2013 р.</w:t>
      </w:r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</w:p>
    <w:p w:rsidR="00034911" w:rsidRPr="00034911" w:rsidRDefault="00034911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Від 01.11.2013 р.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="002E2C6E" w:rsidRPr="00034911">
        <w:rPr>
          <w:rFonts w:ascii="Times New Roman" w:hAnsi="Times New Roman" w:cs="Times New Roman"/>
          <w:sz w:val="24"/>
          <w:szCs w:val="24"/>
          <w:lang w:val="uk-UA"/>
        </w:rPr>
        <w:t>Секретар ради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2C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034911" w:rsidRPr="00034911" w:rsidRDefault="007D7AD0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Голова загальних</w:t>
      </w:r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2C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2C6E" w:rsidRPr="00034911">
        <w:rPr>
          <w:rFonts w:ascii="Times New Roman" w:hAnsi="Times New Roman" w:cs="Times New Roman"/>
          <w:sz w:val="24"/>
          <w:szCs w:val="24"/>
          <w:lang w:val="uk-UA"/>
        </w:rPr>
        <w:t>_______А.А. Гавриленко</w:t>
      </w:r>
      <w:r w:rsidR="002E2C6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«21» 11.  2013</w:t>
      </w:r>
      <w:r w:rsidR="00034911"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7D7AD0" w:rsidRPr="00034911" w:rsidRDefault="007D7AD0" w:rsidP="007D7AD0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зборів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_______ В.І.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Ханювченко</w:t>
      </w:r>
      <w:proofErr w:type="spellEnd"/>
    </w:p>
    <w:p w:rsidR="007D7AD0" w:rsidRPr="00034911" w:rsidRDefault="007D7AD0" w:rsidP="007D7AD0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__________ І.В.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Непочатов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</w:p>
    <w:p w:rsidR="00034911" w:rsidRPr="00034911" w:rsidRDefault="00034911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2C6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34911" w:rsidRPr="00034911" w:rsidRDefault="00034911" w:rsidP="0003491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4911" w:rsidRPr="00034911" w:rsidRDefault="00034911" w:rsidP="00034911">
      <w:pPr>
        <w:jc w:val="center"/>
        <w:rPr>
          <w:rFonts w:ascii="Times New Roman" w:hAnsi="Times New Roman" w:cs="Times New Roman"/>
          <w:b/>
          <w:sz w:val="96"/>
          <w:szCs w:val="96"/>
          <w:lang w:val="uk-UA"/>
        </w:rPr>
      </w:pPr>
      <w:r w:rsidRPr="00034911">
        <w:rPr>
          <w:rFonts w:ascii="Times New Roman" w:hAnsi="Times New Roman" w:cs="Times New Roman"/>
          <w:b/>
          <w:sz w:val="96"/>
          <w:szCs w:val="96"/>
          <w:lang w:val="uk-UA"/>
        </w:rPr>
        <w:t>С Т А Т У Т</w:t>
      </w:r>
    </w:p>
    <w:p w:rsidR="00034911" w:rsidRPr="000F6C54" w:rsidRDefault="00034911" w:rsidP="0003491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F6C54">
        <w:rPr>
          <w:rFonts w:ascii="Times New Roman" w:hAnsi="Times New Roman" w:cs="Times New Roman"/>
          <w:sz w:val="32"/>
          <w:szCs w:val="32"/>
          <w:lang w:val="uk-UA"/>
        </w:rPr>
        <w:t>Льодового Палацу спорту</w:t>
      </w:r>
    </w:p>
    <w:p w:rsidR="00034911" w:rsidRPr="000F6C54" w:rsidRDefault="00034911" w:rsidP="0003491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F6C54">
        <w:rPr>
          <w:rFonts w:ascii="Times New Roman" w:hAnsi="Times New Roman" w:cs="Times New Roman"/>
          <w:sz w:val="32"/>
          <w:szCs w:val="32"/>
          <w:lang w:val="uk-UA"/>
        </w:rPr>
        <w:t>Відділу молоді та спорту</w:t>
      </w:r>
    </w:p>
    <w:p w:rsidR="00034911" w:rsidRPr="000F6C54" w:rsidRDefault="00034911" w:rsidP="0003491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F6C54">
        <w:rPr>
          <w:rFonts w:ascii="Times New Roman" w:hAnsi="Times New Roman" w:cs="Times New Roman"/>
          <w:sz w:val="32"/>
          <w:szCs w:val="32"/>
          <w:lang w:val="uk-UA"/>
        </w:rPr>
        <w:t>Сєвєродонецької міської ради</w:t>
      </w:r>
    </w:p>
    <w:p w:rsidR="00034911" w:rsidRPr="000F6C54" w:rsidRDefault="00034911" w:rsidP="0003491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F6C54">
        <w:rPr>
          <w:rFonts w:ascii="Times New Roman" w:hAnsi="Times New Roman" w:cs="Times New Roman"/>
          <w:sz w:val="32"/>
          <w:szCs w:val="32"/>
          <w:lang w:val="uk-UA"/>
        </w:rPr>
        <w:t>(в новій редакції)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м. Сєвєродонецьк</w:t>
      </w:r>
    </w:p>
    <w:p w:rsidR="00034911" w:rsidRPr="00034911" w:rsidRDefault="00034911" w:rsidP="00034911">
      <w:pPr>
        <w:numPr>
          <w:ilvl w:val="0"/>
          <w:numId w:val="1"/>
        </w:numPr>
        <w:tabs>
          <w:tab w:val="clear" w:pos="928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Загальний розділ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1.1.Льодовий Палац спорту відділу  молоді та спорту знаходиться у комунальній власності територіальної громади міста Сєвєродонецька Луганської області, та є  закладом, що здійснює проведення тренувальних занять з різних видів спорту, культурно-масову  роботу серед населення міста, проведення спортивних змагань та свят, інших видовищно-розважальних заходів та послуг.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1.2.Скорочена назва закладу - Льодовий Палац спорту.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1.3. Юридична адреса Льодового Палацу спорту: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93400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Луганська область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вулиця Маяковського, 28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1.4.Льодовий Палац спорту у своїй діяльності керується Конституцією України, законами України «Про місцеве самоврядування в Україні», Бюджетним Кодексом України, іншими законодавчими актами, рішеннями Луганської обласної ради, розпорядженнями голови Луганської держадміністрації, рішеннями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та її виконавчого комітету, розпорядженнями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голови, наказами начальника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відділу  молоді та спорту, а також діючим Статутом.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1.5. Льодовий Палац спорту створюється, реорганізується і може бути ліквідованим за рішенням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1.6.Льодовий Палац спорту є юридичною особою, має штамп та печатку зі своїм найменуванням, фірмовий бланк та власну атрибутику, може мати самостійний баланс та рахунки в установах банків.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1.7. Штатна чисельність та посадові оклади працівників Льодового Палацу спорту встановлюється відповідно до нормативів чисельності працівників та законодавством з питань оплати праці.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numPr>
          <w:ilvl w:val="0"/>
          <w:numId w:val="1"/>
        </w:numPr>
        <w:tabs>
          <w:tab w:val="clear" w:pos="928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t>Предмет, цілі та господарська діяльність Льодового Палацу спорту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2.1. Предметом діяльності Льодового Палацу спорту є: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-  експлуатація споруд, призначених для проведення спортивних заходів.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– організація та проведення спортивних заходів під відкритим небом або в закритому приміщенні для професіоналів та любителів і т. д. Надання  послуг пов’язаних зі спортом.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– прокат спортивного інвентарю.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– діяльність з управління концертними, театральними та іншими залами для глядачів та організації гастролей: установлення декорацій, освітлення та іншого обладнання; експлуатацію концертних, театральних та інших залів для глядачів та обладнання, діяльність агентств з розповсюдження квитків.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здача в оренду приміщень та споруд з укладанням угод організаціям, установам та підприємцям для: проведення спортивних, культурно-масових заходів, виставок, ярмарок інших видовищно-розважальних заходів та комерційних послуг.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здійснення торгівлі непродовольчими товарами (крім товарів дитячого асортименту);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здійснення торгівлі продовольчими товарами підакцизної групи, що підлягають ліцензуванню;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здійснення торгівлі продовольчими товарами (крім товарів підакцизної групи, що підлягають ліцензуванню);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розміщення підприємств громадського харчування (крім ресторанів, кафе, барів і закусочних);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здійснення торгівлі непродовольчими товарами дитячого асортименту (в частині площ, що використовуються з цією метою). Здійснення книжкової торгівлі та торгівлі шкільним приладдям (в частині площ, що використовуються з цією метою).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2.2.Ціллю діяльності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Льодового Палацу спорту є подальший розвиток спортивної та культурно-масової роботи, підвищення фізичного здоров’я та культурного рівня молоді та мешканців міста.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2.3. Льодовий Палац спорту здійснює поточні ремонти згідно затвердженого плану, забезпечує своєчасне введення в експлуатацію обладнання та інвентарю.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2.4.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Льодовий Палац спорту забезпечує свої об’єкти радіофікацією, електричним освітленням, художнім оформленням та наглядною агітацією.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2.5. Льодовий Палац спорту здійснює оперативну діяльність з матеріально-технічного забезпечення потреб за встановленими нормативами згідно наданих фінансів бюджетом та надходжень з додаткових джерел.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numPr>
          <w:ilvl w:val="0"/>
          <w:numId w:val="1"/>
        </w:numPr>
        <w:tabs>
          <w:tab w:val="clear" w:pos="928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t>Порядок утворення і діяльність органів управління Льодового Палацу спорту.</w:t>
      </w:r>
    </w:p>
    <w:p w:rsidR="00034911" w:rsidRPr="00034911" w:rsidRDefault="00034911" w:rsidP="00034911">
      <w:pPr>
        <w:tabs>
          <w:tab w:val="num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3.1. Безпосереднє керівництво Льодовим Палацом спорту здійснює директор, який призначається на посаду та звільняється з посади начальником відділу молоді та спорту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згідно діючого законодавства.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На посаду директора Льодового Палацу спорту призначається особа, яка є громадянином України, має вищу освіту та досвід організаційної роботи на адміністративних посадах, пов’язаних зі спортивно-масовою та культурно-масовою роботою, не менше 3-х років, або не менше п’яти років на інших адміністративних посадах.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lastRenderedPageBreak/>
        <w:t>3.2.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Директор Льодового Палацу спорту: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здійснює загальне керівництво Льодовим Палацом спорту, забезпечує раціональний добір та розстановку кадрів, забезпечує створення належних умов для праці та підвищення фахового рівня працівників;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вирішує всі питання, пов’язані з фінансово-господарською діяльністю та матеріально - технічним забезпеченням;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забезпечує облік, збереження та примноження матеріальної бази, дотримання правил санітарного режиму, охорони праці та пожежної безпеки;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встановлює, у відповідності до Законодавства про працю, охорону праці, правил внутрішнього розпорядку, посадові обов’язки працівників;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видає у межах своєї компетенції, накази та розпорядження, організує та контролює їх виконання, затверджує посадові інструкції працівників.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в установленому порядку за погодженням із засновником затверджує структуру і штатний розпис Льодового Палацу спорту, контролює додержання виконавчої та фінансової дисципліни;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забезпечує додержання вимог охорони здоров'я, праці, санітарно-гігієнічних, протипожежних норм і норм техніки безпеки та несе за це відповідальність;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- представляє Льодовий Палац спорту на підприємствах, в установах, організаціях та органах влади;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розпоряджається в установленому порядку майном і                                                   коштами Льодового Палацу спорту, укладає угоди, відкриває рахунки в установах банків або органах Державного казначейства;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- установлює </w:t>
      </w:r>
      <w:r w:rsidRPr="0003491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в межах затвердженого фонду заробітної плати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>надбавки і розглядає питання щодо надання доплат, премій і матеріальної допомоги адмінперсоналу, фахівцям та  іншим робітникам Льодового Палацу спорту, вживає інших заходів        заохочення,  а також дисциплінарного впливу;</w:t>
      </w:r>
    </w:p>
    <w:p w:rsidR="00034911" w:rsidRPr="00034911" w:rsidRDefault="00034911" w:rsidP="00034911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несе  відповідальність за виконання  покладених на Льодовий Палац завдань, за результати фінансово-господарської діяльності, стан збереження будівель та іншого майна, переданого в користування і володіння Льодовому Палацу спорту.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готує та виносить на затвердження проект та зміни до Статуту Льодового Палацу спорту;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представляє інтереси Льодового Палацу спорту в державних та громадських органах.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Особова справа та трудова книжка директора зберігається у відділі молоді та спорту.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3.5. Інших працівників Льодового Палацу спорту призначає та звільняє директор Льодового Палацу спорту згідно штатного розпису та діючого законодавства.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Особисті справи та трудові книжки  працівників зберігаються відповідальною за кадрові питання особою Льодового Палацу спорту.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lastRenderedPageBreak/>
        <w:t>3.6. Граничну чисельність, фонд оплати праці працівників Льодового Палацу спорту визначає міський відділ молоді та спорту.</w:t>
      </w:r>
    </w:p>
    <w:p w:rsidR="00034911" w:rsidRPr="00034911" w:rsidRDefault="00034911" w:rsidP="00034911">
      <w:pPr>
        <w:ind w:left="5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4911" w:rsidRPr="00034911" w:rsidRDefault="00034911" w:rsidP="000349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t>Джерела фінансування та порядок використання майна і коштів Льодового Палацу спорту.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Фінансово-господарська діяльність Льодового Палацу спорту здійснюється через централізовану бухгалтерію відділу молоді та спорту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згідно Договору між відділом молоді та спорту та Льодовим Палацом спорту на основі затвердженого кошторису доходів і видатків по загальному та спеціальному фонду і не переслідує мети отримування прибутків.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4.2.  Льодовий Палац спорту здійснює фінансово-господарську діяльність на основі поєднання бюджетних коштів, додаткових джерел фінансування, коштів фонду соціального страхування з тимчасової втрати працездатності.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4.3.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Списання, продаж, передача майна, що закріплене за Льодовим Палацом спорту, здійснюється відповідно до чинного законодавства за погодженням з органом, уповноваженим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управляти комунальною власністю - Фондом комунального майна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  <w:r w:rsidRPr="000349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4.4. Додатковими джерелами коштів Льодового Палацу спорту є: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кошти від здачі в оренду приміщень спортивних споруд, обладнання;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- кошти від здачі в прокат спортивного інвентарю та туристичного обладнання;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- кошти від надання платних послуг населенню</w:t>
      </w:r>
      <w:r w:rsidR="00E5101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5101C" w:rsidRPr="00034911">
        <w:rPr>
          <w:rFonts w:ascii="Times New Roman" w:hAnsi="Times New Roman" w:cs="Times New Roman"/>
          <w:sz w:val="24"/>
          <w:szCs w:val="24"/>
          <w:lang w:val="uk-UA"/>
        </w:rPr>
        <w:t>доход від роботи абонементних груп</w:t>
      </w:r>
      <w:r w:rsidR="00E5101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5101C" w:rsidRPr="0003491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- добровільні грошові внески, дарунки, матеріальні цінності від підприємств, установ, організацій, а також від окремих громадян;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- кошти від продажу квитків на спортивні та культурні заходи;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- інші надходження.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4.5. Льодовий Палац спорту у процесі провадження фінансово-господарської діяльності має право: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- самостійно розпоряджатися коштами одержаними від господарської та іншої діяльності відповідно до Статуту;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 модернізувати власну матеріально-технічну базу;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володіти, користуватися і розпоряджатися майном відповідно до законодавства та Статуту;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3491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надавати в установленому порядку платні послуги;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lastRenderedPageBreak/>
        <w:t>- користуватися безоплатно земельними ділянками на яких розташована споруда Льодового Палацу спорту;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виконувати інші функції, що не суперечать діючому законодавству.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4.6. Кошти Льодового Палацу спорту, які фінансуються з бюджету, та отримані від здійснення діяльності передбаченої Статутом, не вважаються прибутком і не оподатковуються. 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4.7.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Кошти, що надаються на утримання Льодового Палацу спорту повинні забезпечувати  відшкодування матеріальних затрат по здійсненню  видів діяльності, формування фонду заробітної плати в розмірі, не нижчому ніж встановлено законодавством, відрахування на соціальне страхування, пенсійний фонд, інші обов’язкові відрахування, створення і зміцнення матеріально-технічної бази та інші цілі.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4.8. Майно Льодового Палацу спорту складають основні фонди та інші матеріальні цінності, вартість яких відображається в самостійному балансі.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Майно Льодового Палацу спорту належить на праві оперативного управління.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4.9. Надання платних послуг з різних видів спорту, передача в оренду приміщень, обладнання, техніки здійснюється за тарифами і цінами затвердженими виконкомом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4.10.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Облік майна здійснюється бухгалтерією відділу  молоді та спорту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 Списання, передача  майна, що закріплене за  Льодовим Палацом спорту здійснюється відповідно до чинного законодавства України за погодженням з органом, що уповноважений міською радою управляти комунальною власністю – Фондом комунального майна міської ради.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4.11.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фінансово-господарською діяльністю Льодового Палацу спорту здійснюється відділом молоді та спорту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4.12. Ведення діловодства, бухгалтерського обліку та звітності в Льодовому Палаці спорту здійснюється у порядку, визначеному нормативно-правовими актами.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t>Документація Льодового Палацу спорту порядок обліку та звітності.</w:t>
      </w:r>
    </w:p>
    <w:p w:rsidR="00034911" w:rsidRPr="00034911" w:rsidRDefault="00034911" w:rsidP="00034911">
      <w:pPr>
        <w:ind w:left="928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5.1. 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Для загальної діяльності: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Статут Льодового Палацу спорту, довідку про державну реєстрацію, витяг з реєстру, довідка обласної статистики.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Ліцензію на здійснення послуг (при умові надання послуг).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Паспорт спортивної споруди (при наявності власних споруд).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Свідоцтво про категорію спортивної школи та атестації.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lastRenderedPageBreak/>
        <w:t>- Накази та розпорядження з основної діяльності Льодового Палацу спорту.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Штатний розпис.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Кошторис або план використання коштів.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Накази з особового складу.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Особові справи працівників.</w:t>
      </w:r>
    </w:p>
    <w:p w:rsidR="00034911" w:rsidRPr="00034911" w:rsidRDefault="00034911" w:rsidP="0003491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Посадові інструкції працівників спортивної школи.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Книгу обліку трудових книжок працівників.</w:t>
      </w:r>
    </w:p>
    <w:p w:rsidR="00034911" w:rsidRPr="00034911" w:rsidRDefault="00034911" w:rsidP="0003491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Журнали обліку вхідної та вихідної кореспонденції.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Колективний договір між адміністрацією і профспілковим комітетом (у разі наявності).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Інструкції з техніки безпеки, журнал обліку нещасних випадків.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Журнал реєстрації інструктажів з техніки безпеки та охорони праці.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Табель обліку робочого часу працівників Льодового Палацу спорту.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- Протоколи загальних зборів колективу Льодового Палацу спорту.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5.2. У разі виробничої необхідності Льодовий Палац спорту використовує додаткові документи, необхідні для забезпечення діяльності на належному рівні, а також створює власні документи для використання в практичній роботі.</w:t>
      </w:r>
    </w:p>
    <w:p w:rsidR="00034911" w:rsidRPr="00034911" w:rsidRDefault="00034911" w:rsidP="00034911">
      <w:pPr>
        <w:tabs>
          <w:tab w:val="num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numPr>
          <w:ilvl w:val="0"/>
          <w:numId w:val="1"/>
        </w:numPr>
        <w:tabs>
          <w:tab w:val="clear" w:pos="928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t>Права Льодового Палацу спорту.</w:t>
      </w: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6.1. Льодовий Палац спорту може створювати будь-які фізкультурно-оздоровчі групи, має право приймати на роботу інструкторів та тренерів за трудовою угодою та за рахунок спеціального фонду.</w:t>
      </w:r>
    </w:p>
    <w:p w:rsidR="00034911" w:rsidRPr="00034911" w:rsidRDefault="00034911" w:rsidP="000349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6.2.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Льодовий Палац спорту має право відкривати прокатні пункти спортивного інвентарю та туристичного обладнання.</w:t>
      </w:r>
    </w:p>
    <w:p w:rsidR="00034911" w:rsidRPr="00034911" w:rsidRDefault="00034911" w:rsidP="000349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6.3.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Льодовий Палац спорту має право здавати в оренду приміщення споруди Льодового Палацу спорту з дотриманням вимог чинного законодавства. </w:t>
      </w:r>
    </w:p>
    <w:p w:rsidR="00034911" w:rsidRPr="00034911" w:rsidRDefault="00034911" w:rsidP="000349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6.4.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Льодовий Палац спорту має право приймати участь в міжнародній діяльності з різними державами та громадськими організаціями.</w:t>
      </w:r>
    </w:p>
    <w:p w:rsidR="00034911" w:rsidRPr="00034911" w:rsidRDefault="00034911" w:rsidP="000349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6.5.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Льодовий Палац спорту має право проводити міжнародні спортивні свята та міжнародні змагання з видів спорту.</w:t>
      </w:r>
    </w:p>
    <w:p w:rsidR="00034911" w:rsidRPr="00034911" w:rsidRDefault="00034911" w:rsidP="000349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6.6.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>Льодовий Палац спорту має право укладати угоди із зарубіжними установами організаціями про обмін делегаціями педагогічних працівників і спортсменів-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учнів, та про проведення спільних заходів. При наявності відповідних умов  Льодовий Палац спорту може здійснювати прийом іноземних делегацій. </w:t>
      </w:r>
    </w:p>
    <w:p w:rsidR="00034911" w:rsidRPr="00034911" w:rsidRDefault="00034911" w:rsidP="000349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6.7. Льодовий Палац спорту має право продавати квитки на спортивні та інші видовищно-розважальні заходи, згідно тарифів затверджених рішенням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034911" w:rsidRPr="00034911" w:rsidRDefault="00034911" w:rsidP="000349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t>Порядок внесення змін до Статуту Льодового Палацу спорту.</w:t>
      </w:r>
    </w:p>
    <w:p w:rsidR="00034911" w:rsidRPr="00034911" w:rsidRDefault="00034911" w:rsidP="00034911">
      <w:pPr>
        <w:ind w:left="92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4911" w:rsidRDefault="00034911" w:rsidP="00034911">
      <w:pPr>
        <w:tabs>
          <w:tab w:val="num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7.1. Положення та зміни до Статуту Льодового Палацу спорту затверджується рішенням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за узгодженням з міським відділом молоді та спорту.</w:t>
      </w:r>
    </w:p>
    <w:p w:rsidR="00034911" w:rsidRPr="00034911" w:rsidRDefault="00034911" w:rsidP="00034911">
      <w:pPr>
        <w:tabs>
          <w:tab w:val="num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b/>
          <w:sz w:val="24"/>
          <w:szCs w:val="24"/>
          <w:lang w:val="uk-UA"/>
        </w:rPr>
        <w:t>Реорганізація та ліквідація Льодового Палацу спорту</w:t>
      </w:r>
    </w:p>
    <w:p w:rsidR="00034911" w:rsidRPr="00034911" w:rsidRDefault="00034911" w:rsidP="000349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4911" w:rsidRPr="00034911" w:rsidRDefault="00034911" w:rsidP="00034911">
      <w:pPr>
        <w:ind w:firstLine="568"/>
        <w:rPr>
          <w:rFonts w:ascii="Times New Roman" w:hAnsi="Times New Roman" w:cs="Times New Roman"/>
          <w:sz w:val="24"/>
          <w:szCs w:val="24"/>
          <w:lang w:val="uk-UA"/>
        </w:rPr>
      </w:pPr>
      <w:r w:rsidRPr="00034911">
        <w:rPr>
          <w:rFonts w:ascii="Times New Roman" w:hAnsi="Times New Roman" w:cs="Times New Roman"/>
          <w:sz w:val="24"/>
          <w:szCs w:val="24"/>
          <w:lang w:val="uk-UA"/>
        </w:rPr>
        <w:t>8.1</w:t>
      </w:r>
      <w:r w:rsidRPr="0003491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Реорганізація та ліквідація Льодового Палацу спорту проводиться за  рішенням </w:t>
      </w:r>
      <w:proofErr w:type="spellStart"/>
      <w:r w:rsidRPr="0003491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3491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згідно діючого законодавства.</w:t>
      </w:r>
    </w:p>
    <w:p w:rsidR="00FC03E8" w:rsidRPr="00034911" w:rsidRDefault="00FC03E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C03E8" w:rsidRPr="00034911" w:rsidSect="00444EDF"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5A7" w:rsidRDefault="001875A7" w:rsidP="001875A7">
      <w:pPr>
        <w:spacing w:after="0" w:line="240" w:lineRule="auto"/>
      </w:pPr>
      <w:r>
        <w:separator/>
      </w:r>
    </w:p>
  </w:endnote>
  <w:endnote w:type="continuationSeparator" w:id="1">
    <w:p w:rsidR="001875A7" w:rsidRDefault="001875A7" w:rsidP="0018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C" w:rsidRDefault="00C84670" w:rsidP="006D22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03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49C" w:rsidRDefault="00160086" w:rsidP="006D228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C" w:rsidRPr="003B049B" w:rsidRDefault="00160086" w:rsidP="006D2282">
    <w:pPr>
      <w:pStyle w:val="a3"/>
      <w:framePr w:wrap="around" w:vAnchor="text" w:hAnchor="margin" w:xAlign="right" w:y="1"/>
      <w:rPr>
        <w:rStyle w:val="a5"/>
        <w:lang w:val="uk-UA"/>
      </w:rPr>
    </w:pPr>
  </w:p>
  <w:p w:rsidR="000F149C" w:rsidRDefault="00160086" w:rsidP="006D228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5A7" w:rsidRDefault="001875A7" w:rsidP="001875A7">
      <w:pPr>
        <w:spacing w:after="0" w:line="240" w:lineRule="auto"/>
      </w:pPr>
      <w:r>
        <w:separator/>
      </w:r>
    </w:p>
  </w:footnote>
  <w:footnote w:type="continuationSeparator" w:id="1">
    <w:p w:rsidR="001875A7" w:rsidRDefault="001875A7" w:rsidP="0018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2358B"/>
    <w:multiLevelType w:val="hybridMultilevel"/>
    <w:tmpl w:val="40126D68"/>
    <w:lvl w:ilvl="0" w:tplc="99E8CF6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630046A">
      <w:numFmt w:val="none"/>
      <w:lvlText w:val=""/>
      <w:lvlJc w:val="left"/>
      <w:pPr>
        <w:tabs>
          <w:tab w:val="num" w:pos="360"/>
        </w:tabs>
      </w:pPr>
    </w:lvl>
    <w:lvl w:ilvl="2" w:tplc="A4AAA1D0">
      <w:numFmt w:val="none"/>
      <w:lvlText w:val=""/>
      <w:lvlJc w:val="left"/>
      <w:pPr>
        <w:tabs>
          <w:tab w:val="num" w:pos="360"/>
        </w:tabs>
      </w:pPr>
    </w:lvl>
    <w:lvl w:ilvl="3" w:tplc="4AD05C9C">
      <w:numFmt w:val="none"/>
      <w:lvlText w:val=""/>
      <w:lvlJc w:val="left"/>
      <w:pPr>
        <w:tabs>
          <w:tab w:val="num" w:pos="360"/>
        </w:tabs>
      </w:pPr>
    </w:lvl>
    <w:lvl w:ilvl="4" w:tplc="3A46131C">
      <w:numFmt w:val="none"/>
      <w:lvlText w:val=""/>
      <w:lvlJc w:val="left"/>
      <w:pPr>
        <w:tabs>
          <w:tab w:val="num" w:pos="360"/>
        </w:tabs>
      </w:pPr>
    </w:lvl>
    <w:lvl w:ilvl="5" w:tplc="8A7E6B86">
      <w:numFmt w:val="none"/>
      <w:lvlText w:val=""/>
      <w:lvlJc w:val="left"/>
      <w:pPr>
        <w:tabs>
          <w:tab w:val="num" w:pos="360"/>
        </w:tabs>
      </w:pPr>
    </w:lvl>
    <w:lvl w:ilvl="6" w:tplc="5600CDB0">
      <w:numFmt w:val="none"/>
      <w:lvlText w:val=""/>
      <w:lvlJc w:val="left"/>
      <w:pPr>
        <w:tabs>
          <w:tab w:val="num" w:pos="360"/>
        </w:tabs>
      </w:pPr>
    </w:lvl>
    <w:lvl w:ilvl="7" w:tplc="75C22E5E">
      <w:numFmt w:val="none"/>
      <w:lvlText w:val=""/>
      <w:lvlJc w:val="left"/>
      <w:pPr>
        <w:tabs>
          <w:tab w:val="num" w:pos="360"/>
        </w:tabs>
      </w:pPr>
    </w:lvl>
    <w:lvl w:ilvl="8" w:tplc="2F10C51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E547DCA"/>
    <w:multiLevelType w:val="hybridMultilevel"/>
    <w:tmpl w:val="F3FC8E76"/>
    <w:lvl w:ilvl="0" w:tplc="1140014A">
      <w:start w:val="3"/>
      <w:numFmt w:val="bullet"/>
      <w:lvlText w:val="-"/>
      <w:lvlJc w:val="left"/>
      <w:pPr>
        <w:ind w:left="22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911"/>
    <w:rsid w:val="00034911"/>
    <w:rsid w:val="000F6C54"/>
    <w:rsid w:val="0011104A"/>
    <w:rsid w:val="001875A7"/>
    <w:rsid w:val="0028445C"/>
    <w:rsid w:val="002E2C6E"/>
    <w:rsid w:val="007D7AD0"/>
    <w:rsid w:val="00860FB7"/>
    <w:rsid w:val="00C84670"/>
    <w:rsid w:val="00D325FC"/>
    <w:rsid w:val="00E5101C"/>
    <w:rsid w:val="00FC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491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3491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34911"/>
  </w:style>
  <w:style w:type="paragraph" w:styleId="a6">
    <w:name w:val="No Spacing"/>
    <w:uiPriority w:val="1"/>
    <w:qFormat/>
    <w:rsid w:val="000349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7665-8A28-4E41-AF5F-37EB588E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по делам семьи, молодёжи и спорта</Company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Ледовый дворец</dc:creator>
  <cp:keywords/>
  <dc:description/>
  <cp:lastModifiedBy>Кузьменко Ю.</cp:lastModifiedBy>
  <cp:revision>7</cp:revision>
  <cp:lastPrinted>2013-11-15T07:13:00Z</cp:lastPrinted>
  <dcterms:created xsi:type="dcterms:W3CDTF">2013-11-13T11:10:00Z</dcterms:created>
  <dcterms:modified xsi:type="dcterms:W3CDTF">2013-12-03T06:19:00Z</dcterms:modified>
</cp:coreProperties>
</file>