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8"/>
          <w:szCs w:val="28"/>
          <w:lang w:val="uk-UA" w:eastAsia="ru-RU"/>
        </w:rPr>
        <w:t>СЄВЄРОДОНЕЦЬКА МІСЬКА РАДА</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8"/>
          <w:szCs w:val="28"/>
          <w:lang w:val="uk-UA" w:eastAsia="ru-RU"/>
        </w:rPr>
        <w:t>ШОСТОГО СКЛИКАННЯ</w:t>
      </w:r>
    </w:p>
    <w:p w:rsidR="001B0559" w:rsidRPr="001B0559" w:rsidRDefault="001B0559" w:rsidP="001B0559">
      <w:pPr>
        <w:shd w:val="clear" w:color="auto" w:fill="FFFFFF"/>
        <w:spacing w:after="180" w:line="221"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8"/>
          <w:szCs w:val="28"/>
          <w:lang w:val="uk-UA" w:eastAsia="ru-RU"/>
        </w:rPr>
        <w:t>Шістдесят третя (чергова)</w:t>
      </w:r>
      <w:r w:rsidRPr="001B0559">
        <w:rPr>
          <w:rFonts w:ascii="Tahoma" w:eastAsia="Times New Roman" w:hAnsi="Tahoma" w:cs="Tahoma"/>
          <w:b/>
          <w:bCs/>
          <w:color w:val="4A4A4A"/>
          <w:sz w:val="28"/>
          <w:lang w:val="uk-UA" w:eastAsia="ru-RU"/>
        </w:rPr>
        <w:t> </w:t>
      </w:r>
      <w:r w:rsidRPr="001B0559">
        <w:rPr>
          <w:rFonts w:ascii="Tahoma" w:eastAsia="Times New Roman" w:hAnsi="Tahoma" w:cs="Tahoma"/>
          <w:b/>
          <w:bCs/>
          <w:color w:val="4A4A4A"/>
          <w:sz w:val="28"/>
          <w:szCs w:val="28"/>
          <w:lang w:val="uk-UA" w:eastAsia="ru-RU"/>
        </w:rPr>
        <w:t>сесія</w:t>
      </w:r>
    </w:p>
    <w:p w:rsidR="001B0559" w:rsidRPr="001B0559" w:rsidRDefault="001B0559" w:rsidP="001B0559">
      <w:pPr>
        <w:shd w:val="clear" w:color="auto" w:fill="FFFFFF"/>
        <w:spacing w:after="180" w:line="221"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8"/>
          <w:szCs w:val="28"/>
          <w:lang w:val="uk-UA" w:eastAsia="ru-RU"/>
        </w:rPr>
        <w:t>РІШЕННЯ №2703</w:t>
      </w:r>
    </w:p>
    <w:p w:rsidR="001B0559" w:rsidRPr="001B0559" w:rsidRDefault="001B0559" w:rsidP="001B0559">
      <w:pPr>
        <w:shd w:val="clear" w:color="auto" w:fill="FFFFFF"/>
        <w:spacing w:after="180" w:line="360" w:lineRule="atLeast"/>
        <w:ind w:right="1627"/>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30 травня 2013 року</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м. Сєвєродонецьк</w:t>
      </w:r>
    </w:p>
    <w:p w:rsidR="001B0559" w:rsidRPr="001B0559" w:rsidRDefault="001B0559" w:rsidP="001B0559">
      <w:pPr>
        <w:shd w:val="clear" w:color="auto" w:fill="FFFFFF"/>
        <w:spacing w:after="60"/>
        <w:outlineLvl w:val="1"/>
        <w:rPr>
          <w:rFonts w:ascii="Tahoma" w:eastAsia="Times New Roman" w:hAnsi="Tahoma" w:cs="Tahoma"/>
          <w:b/>
          <w:bCs/>
          <w:color w:val="4A4A4A"/>
          <w:sz w:val="31"/>
          <w:szCs w:val="31"/>
          <w:lang w:eastAsia="ru-RU"/>
        </w:rPr>
      </w:pPr>
      <w:r w:rsidRPr="001B0559">
        <w:rPr>
          <w:rFonts w:ascii="Tahoma" w:eastAsia="Times New Roman" w:hAnsi="Tahoma" w:cs="Tahoma"/>
          <w:b/>
          <w:bCs/>
          <w:color w:val="4A4A4A"/>
          <w:sz w:val="31"/>
          <w:szCs w:val="31"/>
          <w:lang w:val="uk-UA" w:eastAsia="ru-RU"/>
        </w:rPr>
        <w:t>Про затвердження Міської</w:t>
      </w:r>
      <w:r w:rsidRPr="001B0559">
        <w:rPr>
          <w:rFonts w:ascii="Tahoma" w:eastAsia="Times New Roman" w:hAnsi="Tahoma" w:cs="Tahoma"/>
          <w:b/>
          <w:bCs/>
          <w:color w:val="4A4A4A"/>
          <w:sz w:val="31"/>
          <w:lang w:val="uk-UA" w:eastAsia="ru-RU"/>
        </w:rPr>
        <w:t> </w:t>
      </w:r>
      <w:r w:rsidRPr="001B0559">
        <w:rPr>
          <w:rFonts w:ascii="Tahoma" w:eastAsia="Times New Roman" w:hAnsi="Tahoma" w:cs="Tahoma"/>
          <w:b/>
          <w:bCs/>
          <w:color w:val="4A4A4A"/>
          <w:sz w:val="31"/>
          <w:szCs w:val="31"/>
          <w:lang w:val="uk-UA" w:eastAsia="ru-RU"/>
        </w:rPr>
        <w:t>цільової Програми сприяння</w:t>
      </w:r>
      <w:r w:rsidRPr="001B0559">
        <w:rPr>
          <w:rFonts w:ascii="Tahoma" w:eastAsia="Times New Roman" w:hAnsi="Tahoma" w:cs="Tahoma"/>
          <w:b/>
          <w:bCs/>
          <w:color w:val="4A4A4A"/>
          <w:sz w:val="31"/>
          <w:lang w:eastAsia="ru-RU"/>
        </w:rPr>
        <w:t> </w:t>
      </w:r>
      <w:r w:rsidRPr="001B0559">
        <w:rPr>
          <w:rFonts w:ascii="Tahoma" w:eastAsia="Times New Roman" w:hAnsi="Tahoma" w:cs="Tahoma"/>
          <w:b/>
          <w:bCs/>
          <w:color w:val="4A4A4A"/>
          <w:sz w:val="31"/>
          <w:szCs w:val="31"/>
          <w:lang w:val="uk-UA" w:eastAsia="ru-RU"/>
        </w:rPr>
        <w:t>громадянській активності в</w:t>
      </w:r>
      <w:r w:rsidRPr="001B0559">
        <w:rPr>
          <w:rFonts w:ascii="Tahoma" w:eastAsia="Times New Roman" w:hAnsi="Tahoma" w:cs="Tahoma"/>
          <w:b/>
          <w:bCs/>
          <w:color w:val="4A4A4A"/>
          <w:sz w:val="31"/>
          <w:lang w:eastAsia="ru-RU"/>
        </w:rPr>
        <w:t> </w:t>
      </w:r>
      <w:r w:rsidRPr="001B0559">
        <w:rPr>
          <w:rFonts w:ascii="Tahoma" w:eastAsia="Times New Roman" w:hAnsi="Tahoma" w:cs="Tahoma"/>
          <w:b/>
          <w:bCs/>
          <w:color w:val="4A4A4A"/>
          <w:sz w:val="31"/>
          <w:szCs w:val="31"/>
          <w:lang w:val="uk-UA" w:eastAsia="ru-RU"/>
        </w:rPr>
        <w:t>реформуванні житлово-комунального господарства</w:t>
      </w:r>
      <w:r w:rsidRPr="001B0559">
        <w:rPr>
          <w:rFonts w:ascii="Tahoma" w:eastAsia="Times New Roman" w:hAnsi="Tahoma" w:cs="Tahoma"/>
          <w:b/>
          <w:bCs/>
          <w:color w:val="4A4A4A"/>
          <w:sz w:val="31"/>
          <w:lang w:val="uk-UA" w:eastAsia="ru-RU"/>
        </w:rPr>
        <w:t> </w:t>
      </w:r>
      <w:r w:rsidRPr="001B0559">
        <w:rPr>
          <w:rFonts w:ascii="Tahoma" w:eastAsia="Times New Roman" w:hAnsi="Tahoma" w:cs="Tahoma"/>
          <w:b/>
          <w:bCs/>
          <w:color w:val="4A4A4A"/>
          <w:sz w:val="31"/>
          <w:szCs w:val="31"/>
          <w:lang w:val="uk-UA" w:eastAsia="ru-RU"/>
        </w:rPr>
        <w:t>м. Сєвєродонецька</w:t>
      </w:r>
      <w:r w:rsidRPr="001B0559">
        <w:rPr>
          <w:rFonts w:ascii="Tahoma" w:eastAsia="Times New Roman" w:hAnsi="Tahoma" w:cs="Tahoma"/>
          <w:b/>
          <w:bCs/>
          <w:color w:val="4A4A4A"/>
          <w:sz w:val="31"/>
          <w:lang w:val="uk-UA" w:eastAsia="ru-RU"/>
        </w:rPr>
        <w:t> </w:t>
      </w:r>
      <w:r w:rsidRPr="001B0559">
        <w:rPr>
          <w:rFonts w:ascii="Tahoma" w:eastAsia="Times New Roman" w:hAnsi="Tahoma" w:cs="Tahoma"/>
          <w:b/>
          <w:bCs/>
          <w:color w:val="4A4A4A"/>
          <w:sz w:val="31"/>
          <w:szCs w:val="31"/>
          <w:lang w:val="uk-UA" w:eastAsia="ru-RU"/>
        </w:rPr>
        <w:t>на 2013 – 2017 роки</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Керуючись статтею 26 Закону України «Про місцеве самоврядування в Україні», Законом України «Про об’єднання співвласників багатоквартирного будинку», Законом України «Про органи самоорганізації населення», Законом України «Про державні цільові програми», Законом України «Про приватизацію державного житлового фонду», Законом України «Про забезпечення реалізації житлових прав мешканців гуртожитків», Законом України «Про Загальнодержавну програму реформування житлово-комунального господарства на 2009-2014 роки», постановою Кабінету Міністрів України від 11.10.2002 №1521 «Про реалізацію Закону України «Про об’єднання співвласників багатоквартирного будинку», з метою забезпечення умов створення і сталого, ефективного функціонування в місті Сєвєродонецьк органів самоорганізації населення та обєднань співвласників багатоквартирних будинків, а також підвищення ефективності управління житловим фондом шляхом формування конкурентного середовища на ринку комунальних послуг, Сєвєродонецька міська рада</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ВИРІШИЛА:</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 </w:t>
      </w:r>
    </w:p>
    <w:p w:rsidR="001B0559" w:rsidRPr="001B0559" w:rsidRDefault="001B0559" w:rsidP="001B0559">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1. Затвердити «Міську цільову Програму сприяння громадянській активності в реформуванні житлово-комунального господарства м.Сєвєродонецька на 2013 – 2017 роки» (Додаток).</w:t>
      </w:r>
    </w:p>
    <w:p w:rsidR="001B0559" w:rsidRPr="001B0559" w:rsidRDefault="001B0559" w:rsidP="001B0559">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2. Управлінню ЖКГ Сєвєродонецької міської ради надавати звіт про хід виконання «Міської цільової Програми сприяння громадянській активності в реформуванні житлово-комунального господарства м.Сєвєродонецька на 2013 – 2017 роки»</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 щорічно у першому кварталі.</w:t>
      </w:r>
    </w:p>
    <w:p w:rsidR="001B0559" w:rsidRPr="001B0559" w:rsidRDefault="001B0559" w:rsidP="001B0559">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3. Контроль за виконанням даного рішення покласти на постійну комісію по управлінню житлово-комунальним господарством, власністю, комунальної власністю, побутовим та торгівельним обслуговуванням.</w:t>
      </w:r>
    </w:p>
    <w:p w:rsidR="001B0559" w:rsidRPr="001B0559" w:rsidRDefault="001B0559" w:rsidP="001B0559">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166" w:lineRule="atLeast"/>
        <w:jc w:val="both"/>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Міський </w:t>
      </w:r>
      <w:r w:rsidRPr="001B0559">
        <w:rPr>
          <w:rFonts w:ascii="Tahoma" w:eastAsia="Times New Roman" w:hAnsi="Tahoma" w:cs="Tahoma"/>
          <w:b/>
          <w:bCs/>
          <w:color w:val="4A4A4A"/>
          <w:sz w:val="11"/>
          <w:lang w:val="uk-UA" w:eastAsia="ru-RU"/>
        </w:rPr>
        <w:t> </w:t>
      </w:r>
      <w:r w:rsidRPr="001B0559">
        <w:rPr>
          <w:rFonts w:ascii="Tahoma" w:eastAsia="Times New Roman" w:hAnsi="Tahoma" w:cs="Tahoma"/>
          <w:b/>
          <w:bCs/>
          <w:color w:val="4A4A4A"/>
          <w:sz w:val="11"/>
          <w:szCs w:val="11"/>
          <w:lang w:val="uk-UA" w:eastAsia="ru-RU"/>
        </w:rPr>
        <w:t>голова                                                                                 </w:t>
      </w:r>
      <w:r w:rsidRPr="001B0559">
        <w:rPr>
          <w:rFonts w:ascii="Tahoma" w:eastAsia="Times New Roman" w:hAnsi="Tahoma" w:cs="Tahoma"/>
          <w:b/>
          <w:bCs/>
          <w:color w:val="4A4A4A"/>
          <w:sz w:val="11"/>
          <w:lang w:val="uk-UA" w:eastAsia="ru-RU"/>
        </w:rPr>
        <w:t> </w:t>
      </w:r>
      <w:r w:rsidRPr="001B0559">
        <w:rPr>
          <w:rFonts w:ascii="Tahoma" w:eastAsia="Times New Roman" w:hAnsi="Tahoma" w:cs="Tahoma"/>
          <w:b/>
          <w:bCs/>
          <w:color w:val="4A4A4A"/>
          <w:sz w:val="11"/>
          <w:szCs w:val="11"/>
          <w:lang w:val="uk-UA" w:eastAsia="ru-RU"/>
        </w:rPr>
        <w:t>В.В. Казаков</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righ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lastRenderedPageBreak/>
        <w:t>                                                                    </w:t>
      </w:r>
      <w:r w:rsidRPr="001B0559">
        <w:rPr>
          <w:rFonts w:ascii="Tahoma" w:eastAsia="Times New Roman" w:hAnsi="Tahoma" w:cs="Tahoma"/>
          <w:i/>
          <w:iCs/>
          <w:color w:val="4A4A4A"/>
          <w:sz w:val="11"/>
          <w:lang w:eastAsia="ru-RU"/>
        </w:rPr>
        <w:t>   Додаток</w:t>
      </w:r>
    </w:p>
    <w:p w:rsidR="001B0559" w:rsidRPr="001B0559" w:rsidRDefault="001B0559" w:rsidP="001B0559">
      <w:pPr>
        <w:shd w:val="clear" w:color="auto" w:fill="FFFFFF"/>
        <w:spacing w:after="180" w:line="360" w:lineRule="atLeast"/>
        <w:jc w:val="right"/>
        <w:rPr>
          <w:rFonts w:ascii="Tahoma" w:eastAsia="Times New Roman" w:hAnsi="Tahoma" w:cs="Tahoma"/>
          <w:color w:val="4A4A4A"/>
          <w:sz w:val="11"/>
          <w:szCs w:val="11"/>
          <w:lang w:eastAsia="ru-RU"/>
        </w:rPr>
      </w:pPr>
      <w:r w:rsidRPr="001B0559">
        <w:rPr>
          <w:rFonts w:ascii="Tahoma" w:eastAsia="Times New Roman" w:hAnsi="Tahoma" w:cs="Tahoma"/>
          <w:i/>
          <w:iCs/>
          <w:color w:val="4A4A4A"/>
          <w:sz w:val="11"/>
          <w:lang w:eastAsia="ru-RU"/>
        </w:rPr>
        <w:t>                                                                       до рішення 63-ої (чергової) сесії міської ради</w:t>
      </w:r>
    </w:p>
    <w:p w:rsidR="001B0559" w:rsidRPr="001B0559" w:rsidRDefault="001B0559" w:rsidP="001B0559">
      <w:pPr>
        <w:shd w:val="clear" w:color="auto" w:fill="FFFFFF"/>
        <w:spacing w:after="180" w:line="360" w:lineRule="atLeast"/>
        <w:jc w:val="right"/>
        <w:rPr>
          <w:rFonts w:ascii="Tahoma" w:eastAsia="Times New Roman" w:hAnsi="Tahoma" w:cs="Tahoma"/>
          <w:color w:val="4A4A4A"/>
          <w:sz w:val="11"/>
          <w:szCs w:val="11"/>
          <w:lang w:eastAsia="ru-RU"/>
        </w:rPr>
      </w:pPr>
      <w:r w:rsidRPr="001B0559">
        <w:rPr>
          <w:rFonts w:ascii="Tahoma" w:eastAsia="Times New Roman" w:hAnsi="Tahoma" w:cs="Tahoma"/>
          <w:i/>
          <w:iCs/>
          <w:color w:val="4A4A4A"/>
          <w:sz w:val="11"/>
          <w:lang w:eastAsia="ru-RU"/>
        </w:rPr>
        <w:t>                                                                       від 30 травня 2013 року  № 2703</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461" w:lineRule="atLeast"/>
        <w:jc w:val="center"/>
        <w:rPr>
          <w:rFonts w:ascii="Tahoma" w:eastAsia="Times New Roman" w:hAnsi="Tahoma" w:cs="Tahoma"/>
          <w:color w:val="4A4A4A"/>
          <w:sz w:val="11"/>
          <w:szCs w:val="11"/>
          <w:lang w:eastAsia="ru-RU"/>
        </w:rPr>
      </w:pPr>
      <w:r w:rsidRPr="001B0559">
        <w:rPr>
          <w:rFonts w:ascii="Tahoma" w:eastAsia="Times New Roman" w:hAnsi="Tahoma" w:cs="Tahoma"/>
          <w:color w:val="4A4A4A"/>
          <w:sz w:val="28"/>
          <w:szCs w:val="28"/>
          <w:lang w:val="uk-UA" w:eastAsia="ru-RU"/>
        </w:rPr>
        <w:t> </w:t>
      </w:r>
      <w:r w:rsidRPr="001B0559">
        <w:rPr>
          <w:rFonts w:ascii="Tahoma" w:eastAsia="Times New Roman" w:hAnsi="Tahoma" w:cs="Tahoma"/>
          <w:color w:val="4A4A4A"/>
          <w:sz w:val="28"/>
          <w:lang w:val="uk-UA" w:eastAsia="ru-RU"/>
        </w:rPr>
        <w:t> </w:t>
      </w:r>
    </w:p>
    <w:p w:rsidR="001B0559" w:rsidRPr="001B0559" w:rsidRDefault="001B0559" w:rsidP="001B0559">
      <w:pPr>
        <w:shd w:val="clear" w:color="auto" w:fill="FFFFFF"/>
        <w:spacing w:after="60"/>
        <w:jc w:val="center"/>
        <w:outlineLvl w:val="1"/>
        <w:rPr>
          <w:rFonts w:ascii="Tahoma" w:eastAsia="Times New Roman" w:hAnsi="Tahoma" w:cs="Tahoma"/>
          <w:b/>
          <w:bCs/>
          <w:color w:val="4A4A4A"/>
          <w:sz w:val="31"/>
          <w:szCs w:val="31"/>
          <w:lang w:eastAsia="ru-RU"/>
        </w:rPr>
      </w:pPr>
      <w:r w:rsidRPr="001B0559">
        <w:rPr>
          <w:rFonts w:ascii="Tahoma" w:eastAsia="Times New Roman" w:hAnsi="Tahoma" w:cs="Tahoma"/>
          <w:b/>
          <w:bCs/>
          <w:color w:val="4A4A4A"/>
          <w:sz w:val="31"/>
          <w:szCs w:val="31"/>
          <w:lang w:eastAsia="ru-RU"/>
        </w:rPr>
        <w:t>Міська цільова</w:t>
      </w:r>
    </w:p>
    <w:p w:rsidR="001B0559" w:rsidRPr="001B0559" w:rsidRDefault="001B0559" w:rsidP="001B0559">
      <w:pPr>
        <w:shd w:val="clear" w:color="auto" w:fill="FFFFFF"/>
        <w:spacing w:after="60"/>
        <w:jc w:val="center"/>
        <w:outlineLvl w:val="1"/>
        <w:rPr>
          <w:rFonts w:ascii="Tahoma" w:eastAsia="Times New Roman" w:hAnsi="Tahoma" w:cs="Tahoma"/>
          <w:b/>
          <w:bCs/>
          <w:color w:val="4A4A4A"/>
          <w:sz w:val="31"/>
          <w:szCs w:val="31"/>
          <w:lang w:eastAsia="ru-RU"/>
        </w:rPr>
      </w:pPr>
      <w:r w:rsidRPr="001B0559">
        <w:rPr>
          <w:rFonts w:ascii="Tahoma" w:eastAsia="Times New Roman" w:hAnsi="Tahoma" w:cs="Tahoma"/>
          <w:b/>
          <w:bCs/>
          <w:color w:val="4A4A4A"/>
          <w:sz w:val="31"/>
          <w:szCs w:val="31"/>
          <w:lang w:eastAsia="ru-RU"/>
        </w:rPr>
        <w:t>Програма сприяння громадянській активності в реформуванні житлово-комунального господарства м.Сєвєродонецька</w:t>
      </w:r>
    </w:p>
    <w:p w:rsidR="001B0559" w:rsidRPr="001B0559" w:rsidRDefault="001B0559" w:rsidP="001B0559">
      <w:pPr>
        <w:shd w:val="clear" w:color="auto" w:fill="FFFFFF"/>
        <w:spacing w:after="60"/>
        <w:jc w:val="center"/>
        <w:outlineLvl w:val="1"/>
        <w:rPr>
          <w:rFonts w:ascii="Tahoma" w:eastAsia="Times New Roman" w:hAnsi="Tahoma" w:cs="Tahoma"/>
          <w:b/>
          <w:bCs/>
          <w:color w:val="4A4A4A"/>
          <w:sz w:val="31"/>
          <w:szCs w:val="31"/>
          <w:lang w:eastAsia="ru-RU"/>
        </w:rPr>
      </w:pPr>
      <w:r w:rsidRPr="001B0559">
        <w:rPr>
          <w:rFonts w:ascii="Tahoma" w:eastAsia="Times New Roman" w:hAnsi="Tahoma" w:cs="Tahoma"/>
          <w:b/>
          <w:bCs/>
          <w:color w:val="4A4A4A"/>
          <w:sz w:val="31"/>
          <w:szCs w:val="31"/>
          <w:lang w:eastAsia="ru-RU"/>
        </w:rPr>
        <w:t>на 2013 – 2017 роки</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pacing w:val="-11"/>
          <w:sz w:val="28"/>
          <w:szCs w:val="28"/>
          <w:lang w:val="uk-UA" w:eastAsia="ru-RU"/>
        </w:rPr>
        <w:t>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pacing w:val="-11"/>
          <w:sz w:val="28"/>
          <w:szCs w:val="28"/>
          <w:lang w:val="uk-UA" w:eastAsia="ru-RU"/>
        </w:rPr>
        <w:t> </w:t>
      </w:r>
    </w:p>
    <w:p w:rsidR="001B0559" w:rsidRPr="001B0559" w:rsidRDefault="001B0559" w:rsidP="001B0559">
      <w:pPr>
        <w:rPr>
          <w:rFonts w:ascii="Times New Roman" w:eastAsia="Times New Roman" w:hAnsi="Times New Roman" w:cs="Times New Roman"/>
          <w:sz w:val="24"/>
          <w:szCs w:val="24"/>
          <w:lang w:eastAsia="ru-RU"/>
        </w:rPr>
      </w:pPr>
      <w:r w:rsidRPr="001B0559">
        <w:rPr>
          <w:rFonts w:ascii="Tahoma" w:eastAsia="Times New Roman" w:hAnsi="Tahoma" w:cs="Tahoma"/>
          <w:color w:val="4A4A4A"/>
          <w:sz w:val="11"/>
          <w:szCs w:val="11"/>
          <w:lang w:eastAsia="ru-RU"/>
        </w:rPr>
        <w:br/>
      </w:r>
      <w:r w:rsidRPr="001B0559">
        <w:rPr>
          <w:rFonts w:ascii="Tahoma" w:eastAsia="Times New Roman" w:hAnsi="Tahoma" w:cs="Tahoma"/>
          <w:color w:val="4A4A4A"/>
          <w:spacing w:val="-11"/>
          <w:sz w:val="28"/>
          <w:szCs w:val="28"/>
          <w:shd w:val="clear" w:color="auto" w:fill="FFFFFF"/>
          <w:lang w:val="uk-UA" w:eastAsia="ru-RU"/>
        </w:rPr>
        <w:t>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color w:val="4A4A4A"/>
          <w:spacing w:val="-11"/>
          <w:sz w:val="28"/>
          <w:szCs w:val="28"/>
          <w:lang w:val="uk-UA" w:eastAsia="ru-RU"/>
        </w:rPr>
        <w:t> </w:t>
      </w:r>
    </w:p>
    <w:p w:rsidR="001B0559" w:rsidRPr="001B0559" w:rsidRDefault="001B0559" w:rsidP="001B0559">
      <w:pPr>
        <w:shd w:val="clear" w:color="auto" w:fill="FFFFFF"/>
        <w:spacing w:after="180" w:line="341"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8"/>
          <w:szCs w:val="28"/>
          <w:lang w:val="uk-UA" w:eastAsia="ru-RU"/>
        </w:rPr>
        <w:t>ПАСПОРТ</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color w:val="4A4A4A"/>
          <w:sz w:val="28"/>
          <w:szCs w:val="28"/>
          <w:lang w:val="uk-UA" w:eastAsia="ru-RU"/>
        </w:rPr>
        <w:t>міської цільової програми</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color w:val="4A4A4A"/>
          <w:sz w:val="28"/>
          <w:szCs w:val="28"/>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1. Назва: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Міська цільова Програма сприяння громадянській активності в реформуванні житлово-комунального господарства м.Сєвєродонецька на 2013 – 2017 роки</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2. Підстава для розроблення: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виконання Закону України «Про об’єднання співвласників багатоквартирного будинку», Закону України «Про місцеве самоврядування в Україні».</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3. Розробник програми: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управління житлово-комунального господарства Сєвєродонецької міської ради.</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22" w:lineRule="atLeast"/>
        <w:ind w:right="-81"/>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4. Співрозробники програми: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громадська організація «Сєвєродонецьке агентство розвитку громади», громадська рада при Сєвєродонецькій міській раді, інститути громадянського суспільства, об’єднання співвласників багатоквартирних будинків, органи самоорганізації населення.</w:t>
      </w:r>
    </w:p>
    <w:p w:rsidR="001B0559" w:rsidRPr="001B0559" w:rsidRDefault="001B0559" w:rsidP="001B0559">
      <w:pPr>
        <w:shd w:val="clear" w:color="auto" w:fill="FFFFFF"/>
        <w:spacing w:after="180" w:line="322" w:lineRule="atLeast"/>
        <w:ind w:right="-81"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5. Відповідальний виконавець програми: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управління житлово-комунального господарства Сєвєродонецької міської ради.</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lastRenderedPageBreak/>
        <w:t>6. Виконавці заходів:</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 управління житлово-комунального господарства Сєвєродонецької міської ради, комунальні житлово-експлуатаційні підприємства, відділ реєстрації юридичних осіб, відділ по роботі з засобами масової інформації Сєвєродонецької міської ради, громадська організація «Сєвєродонецьке агентство розвитку громади», громадська рада при Сєвєродонецькій міській раді, органи самоорганізації населення, об’єднання співвласників багатоквартирних будинків.</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7. Дата, номер і назва розпорядчого документа органу виконавчої влади про розроблення програми (за наявності):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не існує.</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8. Термін реалізації програми: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2013 рік. – 2017 роки</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8.1. Етапи виконання програми: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u w:val="single"/>
          <w:lang w:val="uk-UA" w:eastAsia="ru-RU"/>
        </w:rPr>
        <w:t>1 етап - 2013 рік,   </w:t>
      </w:r>
      <w:r w:rsidRPr="001B0559">
        <w:rPr>
          <w:rFonts w:ascii="Tahoma" w:eastAsia="Times New Roman" w:hAnsi="Tahoma" w:cs="Tahoma"/>
          <w:color w:val="4A4A4A"/>
          <w:sz w:val="11"/>
          <w:u w:val="single"/>
          <w:lang w:val="uk-UA" w:eastAsia="ru-RU"/>
        </w:rPr>
        <w:t> </w:t>
      </w:r>
      <w:r w:rsidRPr="001B0559">
        <w:rPr>
          <w:rFonts w:ascii="Tahoma" w:eastAsia="Times New Roman" w:hAnsi="Tahoma" w:cs="Tahoma"/>
          <w:color w:val="4A4A4A"/>
          <w:sz w:val="11"/>
          <w:szCs w:val="11"/>
          <w:u w:val="single"/>
          <w:lang w:val="uk-UA" w:eastAsia="ru-RU"/>
        </w:rPr>
        <w:t>2 етап - 2014 рік,</w:t>
      </w:r>
      <w:r w:rsidRPr="001B0559">
        <w:rPr>
          <w:rFonts w:ascii="Tahoma" w:eastAsia="Times New Roman" w:hAnsi="Tahoma" w:cs="Tahoma"/>
          <w:color w:val="4A4A4A"/>
          <w:sz w:val="11"/>
          <w:u w:val="single"/>
          <w:lang w:val="uk-UA" w:eastAsia="ru-RU"/>
        </w:rPr>
        <w:t> </w:t>
      </w:r>
      <w:r w:rsidRPr="001B0559">
        <w:rPr>
          <w:rFonts w:ascii="Tahoma" w:eastAsia="Times New Roman" w:hAnsi="Tahoma" w:cs="Tahoma"/>
          <w:color w:val="4A4A4A"/>
          <w:sz w:val="11"/>
          <w:szCs w:val="11"/>
          <w:u w:val="single"/>
          <w:lang w:val="uk-UA" w:eastAsia="ru-RU"/>
        </w:rPr>
        <w:t>   3 етап - 2015 рік,</w:t>
      </w:r>
      <w:r w:rsidRPr="001B0559">
        <w:rPr>
          <w:rFonts w:ascii="Tahoma" w:eastAsia="Times New Roman" w:hAnsi="Tahoma" w:cs="Tahoma"/>
          <w:color w:val="4A4A4A"/>
          <w:sz w:val="11"/>
          <w:u w:val="single"/>
          <w:lang w:val="uk-UA" w:eastAsia="ru-RU"/>
        </w:rPr>
        <w:t> </w:t>
      </w:r>
      <w:r w:rsidRPr="001B0559">
        <w:rPr>
          <w:rFonts w:ascii="Tahoma" w:eastAsia="Times New Roman" w:hAnsi="Tahoma" w:cs="Tahoma"/>
          <w:color w:val="4A4A4A"/>
          <w:sz w:val="11"/>
          <w:szCs w:val="11"/>
          <w:u w:val="single"/>
          <w:lang w:val="uk-UA" w:eastAsia="ru-RU"/>
        </w:rPr>
        <w:t> 4 етап - 2016 рік,  </w:t>
      </w:r>
      <w:r w:rsidRPr="001B0559">
        <w:rPr>
          <w:rFonts w:ascii="Tahoma" w:eastAsia="Times New Roman" w:hAnsi="Tahoma" w:cs="Tahoma"/>
          <w:color w:val="4A4A4A"/>
          <w:sz w:val="11"/>
          <w:u w:val="single"/>
          <w:lang w:val="uk-UA" w:eastAsia="ru-RU"/>
        </w:rPr>
        <w:t> </w:t>
      </w:r>
      <w:r w:rsidRPr="001B0559">
        <w:rPr>
          <w:rFonts w:ascii="Tahoma" w:eastAsia="Times New Roman" w:hAnsi="Tahoma" w:cs="Tahoma"/>
          <w:color w:val="4A4A4A"/>
          <w:sz w:val="11"/>
          <w:szCs w:val="11"/>
          <w:u w:val="single"/>
          <w:lang w:val="uk-UA" w:eastAsia="ru-RU"/>
        </w:rPr>
        <w:t>5 етап - 2017 рік.</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9. Загальний обсяг фінансових ресурсів, необхідних для реалізації програми:</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всього –</w:t>
      </w:r>
      <w:r w:rsidRPr="001B0559">
        <w:rPr>
          <w:rFonts w:ascii="Tahoma" w:eastAsia="Times New Roman" w:hAnsi="Tahoma" w:cs="Tahoma"/>
          <w:color w:val="4A4A4A"/>
          <w:sz w:val="11"/>
          <w:lang w:val="uk-UA" w:eastAsia="ru-RU"/>
        </w:rPr>
        <w:t> </w:t>
      </w:r>
      <w:r w:rsidRPr="001B0559">
        <w:rPr>
          <w:rFonts w:ascii="Tahoma" w:eastAsia="Times New Roman" w:hAnsi="Tahoma" w:cs="Tahoma"/>
          <w:b/>
          <w:bCs/>
          <w:color w:val="4A4A4A"/>
          <w:sz w:val="11"/>
          <w:szCs w:val="11"/>
          <w:lang w:val="uk-UA" w:eastAsia="ru-RU"/>
        </w:rPr>
        <w:t>16900,00</w:t>
      </w:r>
      <w:r w:rsidRPr="001B0559">
        <w:rPr>
          <w:rFonts w:ascii="Tahoma" w:eastAsia="Times New Roman" w:hAnsi="Tahoma" w:cs="Tahoma"/>
          <w:b/>
          <w:bCs/>
          <w:color w:val="4A4A4A"/>
          <w:sz w:val="11"/>
          <w:lang w:val="uk-UA" w:eastAsia="ru-RU"/>
        </w:rPr>
        <w:t> </w:t>
      </w:r>
      <w:r w:rsidRPr="001B0559">
        <w:rPr>
          <w:rFonts w:ascii="Tahoma" w:eastAsia="Times New Roman" w:hAnsi="Tahoma" w:cs="Tahoma"/>
          <w:color w:val="4A4A4A"/>
          <w:sz w:val="11"/>
          <w:szCs w:val="11"/>
          <w:lang w:val="uk-UA" w:eastAsia="ru-RU"/>
        </w:rPr>
        <w:t>тис.грн.,</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у тому числі:</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коштів місцевого бюджету –</w:t>
      </w:r>
      <w:r w:rsidRPr="001B0559">
        <w:rPr>
          <w:rFonts w:ascii="Tahoma" w:eastAsia="Times New Roman" w:hAnsi="Tahoma" w:cs="Tahoma"/>
          <w:color w:val="4A4A4A"/>
          <w:sz w:val="11"/>
          <w:lang w:val="uk-UA" w:eastAsia="ru-RU"/>
        </w:rPr>
        <w:t> </w:t>
      </w:r>
      <w:r w:rsidRPr="001B0559">
        <w:rPr>
          <w:rFonts w:ascii="Tahoma" w:eastAsia="Times New Roman" w:hAnsi="Tahoma" w:cs="Tahoma"/>
          <w:b/>
          <w:bCs/>
          <w:color w:val="4A4A4A"/>
          <w:sz w:val="11"/>
          <w:szCs w:val="11"/>
          <w:lang w:val="uk-UA" w:eastAsia="ru-RU"/>
        </w:rPr>
        <w:t>16900,00</w:t>
      </w:r>
      <w:r w:rsidRPr="001B0559">
        <w:rPr>
          <w:rFonts w:ascii="Tahoma" w:eastAsia="Times New Roman" w:hAnsi="Tahoma" w:cs="Tahoma"/>
          <w:b/>
          <w:bCs/>
          <w:color w:val="4A4A4A"/>
          <w:sz w:val="11"/>
          <w:lang w:val="uk-UA" w:eastAsia="ru-RU"/>
        </w:rPr>
        <w:t> </w:t>
      </w:r>
      <w:r w:rsidRPr="001B0559">
        <w:rPr>
          <w:rFonts w:ascii="Tahoma" w:eastAsia="Times New Roman" w:hAnsi="Tahoma" w:cs="Tahoma"/>
          <w:color w:val="4A4A4A"/>
          <w:sz w:val="11"/>
          <w:szCs w:val="11"/>
          <w:lang w:val="uk-UA" w:eastAsia="ru-RU"/>
        </w:rPr>
        <w:t>тис.грн.</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28"/>
          <w:szCs w:val="28"/>
          <w:lang w:val="uk-UA" w:eastAsia="ru-RU"/>
        </w:rPr>
        <w:t> </w:t>
      </w:r>
    </w:p>
    <w:p w:rsidR="001B0559" w:rsidRPr="001B0559" w:rsidRDefault="001B0559" w:rsidP="001B0559">
      <w:pPr>
        <w:shd w:val="clear" w:color="auto" w:fill="FFFFFF"/>
        <w:spacing w:before="48" w:line="322" w:lineRule="atLeast"/>
        <w:ind w:right="-81" w:firstLine="26"/>
        <w:jc w:val="both"/>
        <w:rPr>
          <w:rFonts w:ascii="Tahoma" w:eastAsia="Times New Roman" w:hAnsi="Tahoma" w:cs="Tahoma"/>
          <w:color w:val="4A4A4A"/>
          <w:sz w:val="11"/>
          <w:szCs w:val="11"/>
          <w:lang w:eastAsia="ru-RU"/>
        </w:rPr>
      </w:pPr>
      <w:r w:rsidRPr="001B0559">
        <w:rPr>
          <w:rFonts w:ascii="Tahoma" w:eastAsia="Times New Roman" w:hAnsi="Tahoma" w:cs="Tahoma"/>
          <w:b/>
          <w:bCs/>
          <w:color w:val="4A4A4A"/>
          <w:sz w:val="28"/>
          <w:szCs w:val="28"/>
          <w:lang w:val="uk-UA" w:eastAsia="ru-RU"/>
        </w:rPr>
        <w:t>        </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20"/>
          <w:szCs w:val="20"/>
          <w:lang w:eastAsia="ru-RU"/>
        </w:rPr>
        <w:t> </w:t>
      </w:r>
    </w:p>
    <w:p w:rsidR="001B0559" w:rsidRPr="001B0559" w:rsidRDefault="001B0559" w:rsidP="001B0559">
      <w:pPr>
        <w:shd w:val="clear" w:color="auto" w:fill="FFFFFF"/>
        <w:spacing w:line="360" w:lineRule="atLeast"/>
        <w:ind w:left="-1620" w:right="-851"/>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Загальні положення</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Міська цільова Програма сприяння громадянській активності у реформуванні ЖКГ в місті Сєвєродонецьк на 2013 – 2017 роки (далі – Програма) приймається для підтримки розвитку органів самоорганізації населення (далі – ОСН), що утворюються та діють відповідно до Закону України «Про органи самоорганізації населення» та об’єднань співвласників багатоквартирних будинків (далі – ОСББ), що утворюються та діють відповідно до Закону України «Про об’єднання співвласників багатоквартирного будинку».</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Програма розроблена відповідно до Конституції України, Цивільного кодексу України, Законів України «Про місцеве самоврядування в Україні», «Про об’єднання співвласників багатоквартирного будинку», «Про органи самоорганізації населення», «Про державні цільові програми», «Про приватизацію державного житлового фонду», «Про забезпечення реалізації житлових прав мешканців гуртожитків», «Про Загальнодержавну програму реформування житлово-комунального господарства на 2009-2014 роки», постанови Кабінету Міністрів України від 11.10.2002 № 1521 «Про реалізацію Закону України «Про об’єднання співвласників багатоквартирного будинку». </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Проблема утримання житлового фонду є однією з найбільш гострих соціально-економічних проблем України в цілому та міста Сєверодонецкька зокрема. Застарілими є організаційні принципи роботи та управління житлово-експлуатаційних організацій. Відсутність системних перетворень у житлово-комунальній сфері, постійне недофінансування запланованих заходів щодо належного утримання та ремонту житлового фонду, його реконструкції і модернізації призвело до незадовільного стану житла в місті.</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xml:space="preserve">Реформування ЖКГ- одна з найважливіших проблем, що постала перед міською владою. Всі, хто працює над реформуванням житлово-комунального господарства, розуміють, що така довгоочікувана реформа можлива лише за умови самої активної участі у цій справі сучасних організаційних форм утримання житла (ОСН та ОСББ), що значно </w:t>
      </w:r>
      <w:r w:rsidRPr="001B0559">
        <w:rPr>
          <w:rFonts w:ascii="Tahoma" w:eastAsia="Times New Roman" w:hAnsi="Tahoma" w:cs="Tahoma"/>
          <w:color w:val="4A4A4A"/>
          <w:sz w:val="11"/>
          <w:szCs w:val="11"/>
          <w:lang w:val="uk-UA" w:eastAsia="ru-RU"/>
        </w:rPr>
        <w:lastRenderedPageBreak/>
        <w:t>краще відповідає реаліям сьогодення. Програма спрямована на розвиток самоорганізації населення</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   як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 важливої   складової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 становлення</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   громадянського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 суспільства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 у м. Сєвєродонецьк.   </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1. Визначення проблеми</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 </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Сьогодні житлове господарство міста переживає значні труднощі. Збільшується частина житлового фонду, який можна віднести до застарілої забудови. Матеріально-технічна база житлового господарства міста вкрай зношена, обладнання застаріле та енергоємне. Внаслідок цього спостерігається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недостатня якість надання житлово-комунальних послуг. Відсутність реальної можливості у населення здійснювати контроль за розподілом і використанням коштів, які вони сплачують за житлово-комунальні послуги, та низька поінформованість щодо захисту своїх прав за неповне і неякісне забезпечення цими послугами сприяють зростанню соціальної напруги серед мешканців міста.</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У свою чергу приватизація житлового фонду призвела до появи власників житла з утриманським ставленням до свого житла (частка приватизованого житлового фонду у м. Сєвєродонецьку складає</w:t>
      </w:r>
      <w:r w:rsidRPr="001B0559">
        <w:rPr>
          <w:rFonts w:ascii="Tahoma" w:eastAsia="Times New Roman" w:hAnsi="Tahoma" w:cs="Tahoma"/>
          <w:color w:val="4A4A4A"/>
          <w:sz w:val="11"/>
          <w:lang w:val="uk-UA" w:eastAsia="ru-RU"/>
        </w:rPr>
        <w:t> </w:t>
      </w:r>
      <w:r w:rsidRPr="001B0559">
        <w:rPr>
          <w:rFonts w:ascii="Tahoma" w:eastAsia="Times New Roman" w:hAnsi="Tahoma" w:cs="Tahoma"/>
          <w:color w:val="000000"/>
          <w:sz w:val="11"/>
          <w:szCs w:val="11"/>
          <w:shd w:val="clear" w:color="auto" w:fill="FFFFFF"/>
          <w:lang w:val="uk-UA" w:eastAsia="ru-RU"/>
        </w:rPr>
        <w:t>94</w:t>
      </w:r>
      <w:r w:rsidRPr="001B0559">
        <w:rPr>
          <w:rFonts w:ascii="Tahoma" w:eastAsia="Times New Roman" w:hAnsi="Tahoma" w:cs="Tahoma"/>
          <w:color w:val="000000"/>
          <w:sz w:val="11"/>
          <w:lang w:val="uk-UA" w:eastAsia="ru-RU"/>
        </w:rPr>
        <w:t> </w:t>
      </w:r>
      <w:r w:rsidRPr="001B0559">
        <w:rPr>
          <w:rFonts w:ascii="Tahoma" w:eastAsia="Times New Roman" w:hAnsi="Tahoma" w:cs="Tahoma"/>
          <w:color w:val="000000"/>
          <w:sz w:val="11"/>
          <w:szCs w:val="11"/>
          <w:lang w:val="uk-UA" w:eastAsia="ru-RU"/>
        </w:rPr>
        <w:t>відсотків).</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Реформування у житлово-комунальній сфері виявляє ряд проблем, однією з яких стало проведення приватизації державного та комунального житла без створення відповідної правової концепції управління приватизованим житлом, вироблення стратегії фінансування капітального ремонту житла тощо. Як наслідок – власниками квартир здебільшого стали особи, не готові нести тягар утримання житла, що є обов’язковим атрибутом будь-якої власності. Безоплатно отримавши житло, вони знаходяться в очікуванні фінансової допомоги з боку держави або міської влади на його утримання, у тому числі проведення капітального ремонту свого будинку.</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Відповідно до ч. 2 ст. 10 Закону України «Про приватизацію державного житлового фонду» власники квартир у багатоквартирному будинку є співвласниками всіх допоміжних приміщень будинку, технічного обладнання, елементів зовнішнього благоустрою і зобов’язані брати участь у загальних витратах, пов’язаних з утриманням будинку і прибудинкової території відповідно до своєї частки майна у будинку. Отже, потрібно подолати парадокс, що утворився у житловому господарстві: квартири приватизовані, допоміжні приміщення є власністю мешканців, а будинок як цілісний комплекс разом з земельною ділянкою знаходиться у комунальній власності.</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Переважна частина житлового фонду міста є власністю територіальної громади міста, функції з експлуатації та утримання цього житла здійснює міська рада через житлові комунальні підприємства.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Кількість і якість комунальних послуг, які надають комунальні підприємства, недостатня. Тим часом, витрати на утримання будинків періодично зростають, будучи постійним каталізатором неспокою для громадян міста. Стан житлових будинків без капітальних ремонтів погіршується,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реновація будівель не проводилась десятиліттями. Величезних фінансових ресурсів, які необхідні для такої реновації, немає ні у державному ні у місцевих бюджетах.</w:t>
      </w:r>
    </w:p>
    <w:p w:rsidR="001B0559" w:rsidRPr="001B0559" w:rsidRDefault="001B0559" w:rsidP="001B0559">
      <w:pPr>
        <w:shd w:val="clear" w:color="auto" w:fill="FFFFFF"/>
        <w:spacing w:line="322" w:lineRule="atLeast"/>
        <w:ind w:left="10" w:right="5" w:firstLine="715"/>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shd w:val="clear" w:color="auto" w:fill="FFFFFF"/>
          <w:lang w:val="uk-UA" w:eastAsia="ru-RU"/>
        </w:rPr>
        <w:t>У м. Сєвєродонецьк станом на 1 травня 2013 року налічується</w:t>
      </w:r>
      <w:r w:rsidRPr="001B0559">
        <w:rPr>
          <w:rFonts w:ascii="Tahoma" w:eastAsia="Times New Roman" w:hAnsi="Tahoma" w:cs="Tahoma"/>
          <w:color w:val="4A4A4A"/>
          <w:sz w:val="11"/>
          <w:lang w:val="uk-UA" w:eastAsia="ru-RU"/>
        </w:rPr>
        <w:t> </w:t>
      </w:r>
      <w:r w:rsidRPr="001B0559">
        <w:rPr>
          <w:rFonts w:ascii="Tahoma" w:eastAsia="Times New Roman" w:hAnsi="Tahoma" w:cs="Tahoma"/>
          <w:color w:val="000000"/>
          <w:sz w:val="11"/>
          <w:szCs w:val="11"/>
          <w:shd w:val="clear" w:color="auto" w:fill="FFFFFF"/>
          <w:lang w:val="uk-UA" w:eastAsia="ru-RU"/>
        </w:rPr>
        <w:t>7 ОСН</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shd w:val="clear" w:color="auto" w:fill="FFFFFF"/>
          <w:lang w:val="uk-UA" w:eastAsia="ru-RU"/>
        </w:rPr>
        <w:t>різних рівнів (вуличних, квартальних, будинкових), які мають представляти інтереси мешканців будинків, вулиць, кварталів у міській раді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shd w:val="clear" w:color="auto" w:fill="FFFFFF"/>
          <w:lang w:val="uk-UA" w:eastAsia="ru-RU"/>
        </w:rPr>
        <w:t>та місцевих органах виконавчої влади, здійснюють від їх імені та в їх інтересах функції і повноваження місцевого самоврядування.</w:t>
      </w:r>
    </w:p>
    <w:p w:rsidR="001B0559" w:rsidRPr="001B0559" w:rsidRDefault="001B0559" w:rsidP="001B0559">
      <w:pPr>
        <w:shd w:val="clear" w:color="auto" w:fill="FFFFFF"/>
        <w:spacing w:line="285"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shd w:val="clear" w:color="auto" w:fill="FFFFFF"/>
          <w:lang w:val="uk-UA" w:eastAsia="ru-RU"/>
        </w:rPr>
        <w:t>У м. Сєвєродонецьк станом на 1 травня 2013 року фактично працюють 11 ОСББ, загальною площею будинків 213,277 тис. м</w:t>
      </w:r>
      <w:r w:rsidRPr="001B0559">
        <w:rPr>
          <w:rFonts w:ascii="Tahoma" w:eastAsia="Times New Roman" w:hAnsi="Tahoma" w:cs="Tahoma"/>
          <w:color w:val="4A4A4A"/>
          <w:sz w:val="11"/>
          <w:szCs w:val="11"/>
          <w:shd w:val="clear" w:color="auto" w:fill="FFFFFF"/>
          <w:vertAlign w:val="superscript"/>
          <w:lang w:val="uk-UA" w:eastAsia="ru-RU"/>
        </w:rPr>
        <w:t>2</w:t>
      </w:r>
      <w:r w:rsidRPr="001B0559">
        <w:rPr>
          <w:rFonts w:ascii="Tahoma" w:eastAsia="Times New Roman" w:hAnsi="Tahoma" w:cs="Tahoma"/>
          <w:color w:val="4A4A4A"/>
          <w:sz w:val="11"/>
          <w:szCs w:val="11"/>
          <w:shd w:val="clear" w:color="auto" w:fill="FFFFFF"/>
          <w:lang w:val="uk-UA" w:eastAsia="ru-RU"/>
        </w:rPr>
        <w:t>. З цієї кількості прийняли будинки на свій баланс та ведуть господарську діяльність самоуправління - 4 ОСББ, загальною площею будинків 9,534 тис. м</w:t>
      </w:r>
      <w:r w:rsidRPr="001B0559">
        <w:rPr>
          <w:rFonts w:ascii="Tahoma" w:eastAsia="Times New Roman" w:hAnsi="Tahoma" w:cs="Tahoma"/>
          <w:color w:val="4A4A4A"/>
          <w:sz w:val="11"/>
          <w:szCs w:val="11"/>
          <w:shd w:val="clear" w:color="auto" w:fill="FFFFFF"/>
          <w:vertAlign w:val="superscript"/>
          <w:lang w:val="uk-UA" w:eastAsia="ru-RU"/>
        </w:rPr>
        <w:t>2</w:t>
      </w:r>
      <w:r w:rsidRPr="001B0559">
        <w:rPr>
          <w:rFonts w:ascii="Tahoma" w:eastAsia="Times New Roman" w:hAnsi="Tahoma" w:cs="Tahoma"/>
          <w:color w:val="4A4A4A"/>
          <w:sz w:val="11"/>
          <w:szCs w:val="11"/>
          <w:shd w:val="clear" w:color="auto" w:fill="FFFFFF"/>
          <w:lang w:val="uk-UA" w:eastAsia="ru-RU"/>
        </w:rPr>
        <w:t>, що становить 0,5% від загальної площі будинків. Створені ОСББ, які відповідно до чинного законодавства України є некомерційними організаціями, діють на засадах самоврядування, здійснюють ек</w:t>
      </w:r>
      <w:r w:rsidRPr="001B0559">
        <w:rPr>
          <w:rFonts w:ascii="Tahoma" w:eastAsia="Times New Roman" w:hAnsi="Tahoma" w:cs="Tahoma"/>
          <w:color w:val="4A4A4A"/>
          <w:sz w:val="11"/>
          <w:szCs w:val="11"/>
          <w:shd w:val="clear" w:color="auto" w:fill="FFFFFF"/>
          <w:lang w:val="uk-UA" w:eastAsia="ru-RU"/>
        </w:rPr>
        <w:softHyphen/>
        <w:t>сплуатацію й ремонт належних їм житлових будинків та утримання прибудинкових територій за рахунок своїх коштів на засадах самооплатності, представляють інтереси об’єднань власників жилих та нежилих приміщень багатоквартирних будинків, захищають права та слідкують за виконанням їхніх обов’язків щодо спільного утримання багатоквартирних будинків.</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shd w:val="clear" w:color="auto" w:fill="FFFFFF"/>
          <w:lang w:val="uk-UA" w:eastAsia="ru-RU"/>
        </w:rPr>
        <w:t>Вивчення роботи ОСН та ОСББ виявило актуальні проблеми, пов’язані з інформаційними, фінансовими та матеріально-технічними питаннями забезпечення діяльності цих організацій, ненаданням якісних житлово-комунальних послуг, відсутністю сучасного ефективного управління ресурсами, достатньої кількості навчально-методичних матеріалів, інформаційних ресурсів, вмінням виявляти проблеми та самоорганізовуватися для їх вирішення, відсутністю належної взаємодії цих організацій з органами місцевого самоврядування. Також існує проблема стимулювання та мотивації діяльності керівників ОСН та ОСББ.</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shd w:val="clear" w:color="auto" w:fill="FFFFFF"/>
          <w:lang w:val="uk-UA" w:eastAsia="ru-RU"/>
        </w:rPr>
        <w:t> </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u w:val="single"/>
          <w:lang w:eastAsia="ru-RU"/>
        </w:rPr>
        <w:t>Фактори, що стримують розвиток та діяльність ОСББ в м. Сєвєродонецьк:</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відсутність повної та достовірної інформації про переваги та недоліки ОСББ;</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низький рівень просвітницької роботи з населенням;</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lastRenderedPageBreak/>
        <w:t>ñ     відсутність професійних управителів будинків;</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законодавчо неврегульовані аспекти створення та діяльності ОСББ (у тому числі питання першого капітального ремонту);</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зношеність та застарілість конструктивних елементів та технічного обладнання багатоквартирних житлових будинків;</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відсутність повного комплекту технічної документації багатоквартирного житлового будинку та прибудинкової території, заплутаний та витратний механізм реєстрації ОСББ;</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відсутність реальних важелів впливу на неплатників з боку ОСББ;</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відсутність цивілізованого ринку житлово-комунальних послуг;</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складність процедури передачі на баланс ОСББ багатоквартирного житлового будинку;</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складність процедури передачі у власність ОСББ земельної ділянки прибудинкової території;</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наявність заборгованості за житлово-комунальні послуги;</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відсутність коштів на проведення капітального ремонту багатоквартирного житлового будинку.</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u w:val="single"/>
          <w:lang w:val="uk-UA" w:eastAsia="ru-RU"/>
        </w:rPr>
        <w:t>Фактори, що стримують розвиток та діяльність ОСН в м. Сєвєродонецьк:</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На даному етапі допомога органам самоорганізації населення з боку органів місцевого самоврядування обмежується лише організаційними заходами. Однак, ефективність співпраці знаходиться в прямій залежності від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фінансування з місцевого бюджету, можливості якого досить обмежені, у зв’язку з цим проблемними залишаються питання:</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80" w:line="360" w:lineRule="atLeast"/>
        <w:ind w:left="786" w:hanging="360"/>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недостатній рівень правової освіти тієї частини населення міста, що готова приймати активну участь у вирішенні локальних проблем територіальної громади;</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недостатній рівень ефективності взаємодії органів самоорганізації населення із Сєвєродонецькою міською радою;</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обмеженість фінансових можливостей міського бюджету;</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недостатній рівень забезпечення методичними матеріалами;</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недостатній рівень проведення робіт з благоустрою, озеленення та утримання в належному стані садиб, дворів, вулиць, прибудинкових територій</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наявність недостатньої якості житлово-комунальних послуг;</w:t>
      </w:r>
    </w:p>
    <w:p w:rsidR="001B0559" w:rsidRPr="001B0559" w:rsidRDefault="001B0559" w:rsidP="001B0559">
      <w:pPr>
        <w:shd w:val="clear" w:color="auto" w:fill="FFFFFF"/>
        <w:spacing w:after="180" w:line="360" w:lineRule="atLeast"/>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t>ñ     недостатній культурно-освітній та виховний рівень населення.</w:t>
      </w:r>
    </w:p>
    <w:p w:rsidR="001B0559" w:rsidRPr="001B0559" w:rsidRDefault="001B0559" w:rsidP="001B0559">
      <w:pPr>
        <w:shd w:val="clear" w:color="auto" w:fill="FFFFFF"/>
        <w:spacing w:after="80" w:line="360" w:lineRule="atLeast"/>
        <w:rPr>
          <w:rFonts w:ascii="Tahoma" w:eastAsia="Times New Roman" w:hAnsi="Tahoma" w:cs="Tahoma"/>
          <w:color w:val="4A4A4A"/>
          <w:sz w:val="11"/>
          <w:szCs w:val="11"/>
          <w:lang w:eastAsia="ru-RU"/>
        </w:rPr>
      </w:pPr>
      <w:r w:rsidRPr="001B0559">
        <w:rPr>
          <w:rFonts w:ascii="Times New Roman" w:eastAsia="Times New Roman" w:hAnsi="Times New Roman" w:cs="Times New Roman"/>
          <w:sz w:val="11"/>
          <w:szCs w:val="11"/>
          <w:lang w:val="uk-UA" w:eastAsia="ru-RU"/>
        </w:rPr>
        <w:t> </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Найбільш дієвими способами у заохоченні</w:t>
      </w:r>
      <w:r w:rsidRPr="001B0559">
        <w:rPr>
          <w:rFonts w:ascii="Tahoma" w:eastAsia="Times New Roman" w:hAnsi="Tahoma" w:cs="Tahoma"/>
          <w:color w:val="4A4A4A"/>
          <w:sz w:val="11"/>
          <w:u w:val="single"/>
          <w:lang w:val="uk-UA" w:eastAsia="ru-RU"/>
        </w:rPr>
        <w:t> </w:t>
      </w:r>
      <w:r w:rsidRPr="001B0559">
        <w:rPr>
          <w:rFonts w:ascii="Tahoma" w:eastAsia="Times New Roman" w:hAnsi="Tahoma" w:cs="Tahoma"/>
          <w:color w:val="4A4A4A"/>
          <w:sz w:val="11"/>
          <w:szCs w:val="11"/>
          <w:u w:val="single"/>
          <w:lang w:val="uk-UA" w:eastAsia="ru-RU"/>
        </w:rPr>
        <w:t>мешканців до створення ОСН та ОСББ є:</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організація навчань керівників ОСББ, забезпечення постійних консультацій з питань створення і діяльності об’єднань;</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проведення фахового огляду і визначення технічного стану будинку на час його передачі на баланс ОСББ;</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надання ОСББ фінансової допомоги у виконанні робіт з першого капітального ремонту будинку, що реалізується виділенням коштів з державного і місцевого бюджетів;</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надання ОСН та ОСББ повного комплекту технічної документації на їх будинок і прибудинкову територію;</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lastRenderedPageBreak/>
        <w:t>- сприяння у підготовці проектів на отримання можливих міжнародних грантів, кредитів, а також залучення ОСББ до участі у всеукраїнських і міжнародних програмах підтримки громадської активності.</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Крім матеріального стимулювання проблема створення ОСН та ОСББ потребує координації зусиль виконавчих органів міської ради з громадськістю та громадськими організаціями міста.</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Взаємодія об'єднань мешканців з міською владою є найважливішою передумовою для соціального партнерства на місцевому рівні, залучення мешканців до розв’язання міських проблем, зокрема, найактуальніших сьогодні проблем житлово-комунального господарства.</w:t>
      </w:r>
    </w:p>
    <w:p w:rsidR="001B0559" w:rsidRPr="001B0559" w:rsidRDefault="001B0559" w:rsidP="001B0559">
      <w:pPr>
        <w:shd w:val="clear" w:color="auto" w:fill="FFFFFF"/>
        <w:spacing w:line="322"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shd w:val="clear" w:color="auto" w:fill="FFFFFF"/>
          <w:lang w:val="uk-UA" w:eastAsia="ru-RU"/>
        </w:rPr>
        <w:t>Зазначені проблеми свідчать про необхідність упровадження комплексу заходів щодо сприяння розвитку та функціонування ОСН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shd w:val="clear" w:color="auto" w:fill="FFFFFF"/>
          <w:lang w:val="uk-UA" w:eastAsia="ru-RU"/>
        </w:rPr>
        <w:t>та ОСББ у м. Сєвєродонецьк.</w:t>
      </w:r>
    </w:p>
    <w:p w:rsidR="001B0559" w:rsidRPr="001B0559" w:rsidRDefault="001B0559" w:rsidP="001B0559">
      <w:pPr>
        <w:shd w:val="clear" w:color="auto" w:fill="FFFFFF"/>
        <w:spacing w:after="180" w:line="360" w:lineRule="atLeast"/>
        <w:ind w:right="24"/>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2. Мета виконання Програми</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2.1. Метою Програми є забезпечення умов створення і сталого, ефективного функціонування в місті Сєвєродонецьк ОСН та ОСББ, а також підвищення ефективності управління житловим фондом шляхом формування конкурентного середовища на ринку житлово-комунальних послуг.</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2.2. Програма спрямована на виконання таких завдань:</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cтворення в структурі Управління ЖКГ сектору сприяння діяльності ОСН та ОСББ, підтримка на всіх етапах їх функціонування;</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проведення необхідної інформаційно-роз’яснювальної роботи щодо підтримки ОСН та ОСББ з метою надання мешканцям багатоквартирних будинків необхідних знань щодо механізму створення та діяльності ОСН та ОСББ, проведення відповідних тренінгів та семінарів;</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надання власникам квартир в багатоквартирних житлових будинках практичної допомоги в процесі створення та діяльності ОСН та ОСББ: затвердження типових зразків установчих та реєстраційних документів,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участь працівників відділу сприяння роботі ОСН та ОСББ в роботі установчих зборів, проведення обстежень технічного стану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під час передачі будинків на баланс ОСББ;</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підвищення кваліфікації працівників виконавчих органів міської ради у галузі впровадження нових форм управління житловим фондом</w:t>
      </w:r>
      <w:r w:rsidRPr="001B0559">
        <w:rPr>
          <w:rFonts w:ascii="Tahoma" w:eastAsia="Times New Roman" w:hAnsi="Tahoma" w:cs="Tahoma"/>
          <w:color w:val="4A4A4A"/>
          <w:sz w:val="11"/>
          <w:szCs w:val="11"/>
          <w:lang w:val="uk-UA" w:eastAsia="ru-RU"/>
        </w:rPr>
        <w:br/>
        <w:t>(зважаючи на важливу роль та участь працівників різних рівнів та структурних підрозділів виконавчих органів міської ради у процесі створення та діяльності ОСН та ОСББ, необхідно підвищувати рівень їхньої кваліфікації у цій відносно новій та дуже важливій сфері впровадження новітніх форм управління житловим господарством, передачі багатоквартирних житлових будинків на баланс ОСББ, тощо);</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поглиблення демонополізації житлово-комунального господарства, створення конкурентного середовища на ринку житлово-комунальних послуг, сприяння створенню системи управителів на ринку житлових послуг</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(за існуючої системи управління житловим фондом переважна більшість послуг з експлуатації і утримання житла надається комунальними підприємствами, робота яких не відповідає сучасним вимогам; за умови створення певної кількості ОСББ, зокрема в одному мікрорайоні, та лібералізації тарифів на комунальні послуги виникають передумови появи нового більш ефективного надавача послуг з експлуатації і утримання житлових будинків у формі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управляючих компаній та окремих управителів);</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допомога об’єднанням у визначенні технічного стану будинків</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br/>
        <w:t>(для того, щоб вчасно і у належний спосіб усувати несправності, поліпшувати експлуатаційні показники будинку, здійснювати його технічну модернізацію, необхідно допомогти керівнику ОСББ провести перший кваліфікований технічний огляд будинку);</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фінансування робіт з капітального ремонту будинків, у яких створено ОСББ (найбільш дієвим способом заохочення мешканців до створення ОСББ є реальна допомога ОСББ через співфінансування з міського бюджету робіт з капітального ремонту основних конструктивних елементів будинку);</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lastRenderedPageBreak/>
        <w:t>- забезпечення прозорості і відкритості при наданні фінансової допомоги з міського бюджету (програма передбачає запровадження конкурсу серед ОСН та ОСББ міста щодо реалізації підготованих ними проектів шляхом спільного фінансування, що реалізовуватиметься за кошти міського бюджету, державного бюджету, але за обов'язкової фінансової участі мешканців будинку;</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сприяння залученню коштів Державного бюджету України, інвестицій та кредитів міжнародних фінансових організацій та ресурсів (допомогти об’єднанням в їх намаганнях залучати кредитні кошти міжнародних фінансових установ на модернізацію та енергозберігаючі заходи у житлових будинках, у тому числі пропонувати співфінансування таких проектів з міського бюджету).</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3. Шляхи і засоби розв’язання проблеми</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firstLine="715"/>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Прийняття Програми передбачає реалізацію відповідних заходів за умови стабільного фінансування та матеріального забезпечення. Строк виконання Програми, з урахуванням масштабів та динаміки суспільно-політичних та соціально-економічних процесів, становитиме 5 років: з червня 2013 року по червень 2017 року.</w:t>
      </w:r>
    </w:p>
    <w:p w:rsidR="001B0559" w:rsidRPr="001B0559" w:rsidRDefault="001B0559" w:rsidP="001B0559">
      <w:pPr>
        <w:shd w:val="clear" w:color="auto" w:fill="FFFFFF"/>
        <w:spacing w:after="180" w:line="360" w:lineRule="atLeast"/>
        <w:ind w:firstLine="715"/>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Програма реалізується в п’ять етапів.</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Міська рада, структурні підрозділи її виконавчих органів сприяє здійсненню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ОСН та ОСББ їхніх повноважень.</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Обґрунтування шляхів і засобів розв’язання проблеми:</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недостатній рівень правової освіти тієї частини населення міста, що готова брати активну участь у вирішенні локальних проблем територіальної громади, підвищуватиметься шляхом навчання та вдосконалення і розвитку нормативно-методичної бази для діяльності ОСН та ОСББ;</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недостатній рівень ефективності взаємодії ОСН та ОСББ із органами місцевого самоврядування, підвищуватиметься шляхом розвитку механізмів взаємодії цих організацій між собою, а також з органами місцевого самоврядування та іншими юридичними особами;</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фінансове та матеріально-технічне забезпечення діяльності ОСН та ОСББ здійснюватиметься шляхом розробки та реалізації проектів, що подаються на різноманітні конкурси, які проводяться органами державної влади, органом місцевого самоврядування, а також іншими фондами та організаціями відповідно до чинного законодавства України; </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недостатній рівень проведення робіт з благоустрою, озеленення та утримання в належному стані садиб, дворів, вулиць, прибудинкових територій та наявність недостатньої якості житлово-комунальних послуг, недостатній культурно-освітній та виховний рівень населення підвищуватиметься шляхом формування механізму ефективної діяльності та участі ОСН та ОСББ у сфері соціально-економічного розвитку міста;</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недостатній рівень забезпечення методичними матеріалами підвищуватиметься шляхом роз’яснювальних кампаній та інформаційно-методичного забезпечення діяльності ОСН та ОСББ.</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pacing w:val="-17"/>
          <w:sz w:val="11"/>
          <w:szCs w:val="11"/>
          <w:lang w:val="uk-UA" w:eastAsia="ru-RU"/>
        </w:rPr>
        <w:t>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pacing w:val="-17"/>
          <w:sz w:val="11"/>
          <w:szCs w:val="11"/>
          <w:lang w:val="uk-UA" w:eastAsia="ru-RU"/>
        </w:rPr>
        <w:t>4.</w:t>
      </w:r>
      <w:r w:rsidRPr="001B0559">
        <w:rPr>
          <w:rFonts w:ascii="Tahoma" w:eastAsia="Times New Roman" w:hAnsi="Tahoma" w:cs="Tahoma"/>
          <w:b/>
          <w:bCs/>
          <w:color w:val="4A4A4A"/>
          <w:spacing w:val="-17"/>
          <w:sz w:val="11"/>
          <w:lang w:val="uk-UA" w:eastAsia="ru-RU"/>
        </w:rPr>
        <w:t> </w:t>
      </w:r>
      <w:r w:rsidRPr="001B0559">
        <w:rPr>
          <w:rFonts w:ascii="Tahoma" w:eastAsia="Times New Roman" w:hAnsi="Tahoma" w:cs="Tahoma"/>
          <w:b/>
          <w:bCs/>
          <w:color w:val="4A4A4A"/>
          <w:sz w:val="11"/>
          <w:szCs w:val="11"/>
          <w:lang w:val="uk-UA" w:eastAsia="ru-RU"/>
        </w:rPr>
        <w:t>Завдання та заходи Програми</w:t>
      </w:r>
    </w:p>
    <w:p w:rsidR="001B0559" w:rsidRPr="001B0559" w:rsidRDefault="001B0559" w:rsidP="001B0559">
      <w:pPr>
        <w:shd w:val="clear" w:color="auto" w:fill="FFFFFF"/>
        <w:spacing w:after="180" w:line="360" w:lineRule="atLeast"/>
        <w:ind w:right="-180"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right="-180"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4.1. Вивчення стану справ щодо виконання Закону України „Про органи самоорганізації населення”, Закону України „Про об’єднання співвласників багатоквартирного будинку” у м. Сєвєродонецьк:</w:t>
      </w:r>
    </w:p>
    <w:p w:rsidR="001B0559" w:rsidRPr="001B0559" w:rsidRDefault="001B0559" w:rsidP="001B0559">
      <w:pPr>
        <w:shd w:val="clear" w:color="auto" w:fill="FFFFFF"/>
        <w:spacing w:after="180" w:line="360" w:lineRule="atLeast"/>
        <w:ind w:right="-180"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уточнення та актуалізація кількості створених та зареєстрованих ОСН та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ОСББ у м. Сєвєродонецьку;</w:t>
      </w:r>
    </w:p>
    <w:p w:rsidR="001B0559" w:rsidRPr="001B0559" w:rsidRDefault="001B0559" w:rsidP="001B0559">
      <w:pPr>
        <w:shd w:val="clear" w:color="auto" w:fill="FFFFFF"/>
        <w:spacing w:after="180" w:line="360" w:lineRule="atLeast"/>
        <w:ind w:right="-180"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lastRenderedPageBreak/>
        <w:t>визначення стану матеріально-технічної забезпеченості ОСН та ОСББ;</w:t>
      </w:r>
    </w:p>
    <w:p w:rsidR="001B0559" w:rsidRPr="001B0559" w:rsidRDefault="001B0559" w:rsidP="001B0559">
      <w:pPr>
        <w:shd w:val="clear" w:color="auto" w:fill="FFFFFF"/>
        <w:spacing w:after="180" w:line="360" w:lineRule="atLeast"/>
        <w:ind w:right="-180"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проведення соціологічних опитувань мешканців міста стосовно організації та якості роботи ОСН та ОСББ.</w:t>
      </w:r>
    </w:p>
    <w:p w:rsidR="001B0559" w:rsidRPr="001B0559" w:rsidRDefault="001B0559" w:rsidP="001B0559">
      <w:pPr>
        <w:shd w:val="clear" w:color="auto" w:fill="FFFFFF"/>
        <w:spacing w:line="278" w:lineRule="atLeast"/>
        <w:ind w:left="-39" w:right="-81"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line="278" w:lineRule="atLeast"/>
        <w:ind w:left="-39" w:right="-81"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4.2. Сприяння створенню ОСН та ОСББ у м. Сєвєродонецьк:</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проведення організаційно-установчої роботи щодо сприяння створенню ОСН та ОСББ у м. Сєвєродонецьк;</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проведення роз’яснювальної роботи, сприяння проведенню зборів, реєстрації ОСН та ОСББ;</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участь керівників ОСН та ОСББ у вивченні, аналізі, узагальненні та впровадженні вітчизняного досвіду розвитку органів місцевого самоврядування та самоорганізації населення;</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проведення навчально-методичних тренінгів, семінарів, ділових ігор, круглих столів тощо, спрямованих на підвищення професіоналізму представників ОСН та ОСББ та впровадження успішного досвіду розвитку територій;</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науково-методичне забезпечення діяльності ОСН та ОСББ міста з метою організації ефективної роботи та розвитку територій (у т.ч. створення методичних посібників, розробка необхідних положень та інших нормативних актів);</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урахування в міському бюджеті видатків на виконання ОСН делегованих повноважень;</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урахування в міському бюджеті коштів на здійснення першого капітального ремонту житлових будинків ОСББ;</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урахування в міському бюджеті коштів на відновлення проектно-технічної документації житлового фонду.</w:t>
      </w:r>
    </w:p>
    <w:p w:rsidR="001B0559" w:rsidRPr="001B0559" w:rsidRDefault="001B0559" w:rsidP="001B0559">
      <w:pPr>
        <w:shd w:val="clear" w:color="auto" w:fill="FFFFFF"/>
        <w:spacing w:after="180" w:line="360" w:lineRule="atLeast"/>
        <w:ind w:firstLine="75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pacing w:val="-1"/>
          <w:sz w:val="11"/>
          <w:szCs w:val="11"/>
          <w:lang w:val="uk-UA" w:eastAsia="ru-RU"/>
        </w:rPr>
        <w:t>4.3.</w:t>
      </w:r>
      <w:r w:rsidRPr="001B0559">
        <w:rPr>
          <w:rFonts w:ascii="Tahoma" w:eastAsia="Times New Roman" w:hAnsi="Tahoma" w:cs="Tahoma"/>
          <w:color w:val="4A4A4A"/>
          <w:spacing w:val="-1"/>
          <w:sz w:val="11"/>
          <w:lang w:val="uk-UA" w:eastAsia="ru-RU"/>
        </w:rPr>
        <w:t> </w:t>
      </w:r>
      <w:r w:rsidRPr="001B0559">
        <w:rPr>
          <w:rFonts w:ascii="Tahoma" w:eastAsia="Times New Roman" w:hAnsi="Tahoma" w:cs="Tahoma"/>
          <w:color w:val="4A4A4A"/>
          <w:sz w:val="11"/>
          <w:szCs w:val="11"/>
          <w:lang w:val="uk-UA" w:eastAsia="ru-RU"/>
        </w:rPr>
        <w:t>Розвиток механізмів взаємодії ОСН та ОСББ між собою, з органом місцевого самоврядування та іншими юридичними особами:</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проведення регулярних робочих зустрічей та спільних робочих нарад керівництва міської ради, керівництва структурних підрозділів виконавчого комітету міської ради, які беруть участь у реалізації Програми із керівниками та активістами ОСН та ОСББ;</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проведення навчальних семінарів-тренінгів для представників ОСН та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ОСББ на теми: </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кращі практики розвитку локальної демократії, громадянського суспільства, розповсюдження ідей самоврядування;</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реалізація в суспільстві принципів соціальної справедливості і соціального партнерства;</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розробка та реалізація проектів і програм ОСН та ОСББ, які подаються на міжнародні, українські, обласні конкурси, що проводяться державними, громадськими, міжнародними фондами та організаціями; </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створення ефективної законодавчої та нормативної бази місцевого самоврядування для розвитку локальної демократії у всіх її проявах;</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підвищення професійного рівня громадян, посадових осіб органів місцевого самоврядування, комунальних підприємств, установ та організацій, які працюють з представниками ОСН та ОСББ у керуванні місцевими справами та інших аспектах локальної демократії;</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забезпечення участі представників ОСН та ОСББ у вирішенні питань місцевого значення;</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вивчення практики роботи ОСН та ОСББ у інших регіонах України та за кордоном.</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Здійснення вищевказаних заходів сприятиме залученню небюджетних коштів до вирішення соціальних проблем мешканців міста.</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eastAsia="ru-RU"/>
        </w:rPr>
        <w:lastRenderedPageBreak/>
        <w:t> </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4.4. Сприяння реалізації</w:t>
      </w:r>
      <w:r w:rsidRPr="001B0559">
        <w:rPr>
          <w:rFonts w:ascii="Tahoma" w:eastAsia="Times New Roman" w:hAnsi="Tahoma" w:cs="Tahoma"/>
          <w:color w:val="4A4A4A"/>
          <w:spacing w:val="-6"/>
          <w:sz w:val="11"/>
          <w:lang w:val="uk-UA" w:eastAsia="ru-RU"/>
        </w:rPr>
        <w:t> </w:t>
      </w:r>
      <w:r w:rsidRPr="001B0559">
        <w:rPr>
          <w:rFonts w:ascii="Tahoma" w:eastAsia="Times New Roman" w:hAnsi="Tahoma" w:cs="Tahoma"/>
          <w:color w:val="4A4A4A"/>
          <w:spacing w:val="-6"/>
          <w:sz w:val="11"/>
          <w:szCs w:val="11"/>
          <w:lang w:val="uk-UA" w:eastAsia="ru-RU"/>
        </w:rPr>
        <w:t>пілотних та спільних проектів</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ОСН та ОСББ:</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pacing w:val="-1"/>
          <w:sz w:val="11"/>
          <w:szCs w:val="11"/>
          <w:lang w:val="uk-UA" w:eastAsia="ru-RU"/>
        </w:rPr>
        <w:t>здійснення співфінансування ОСН та ОСББ – переможців конкурсів, учасників спільних проектів (програм) державних, міжнародних, громадських організацій (фондів), спрямованих на розвиток</w:t>
      </w:r>
      <w:r w:rsidRPr="001B0559">
        <w:rPr>
          <w:rFonts w:ascii="Tahoma" w:eastAsia="Times New Roman" w:hAnsi="Tahoma" w:cs="Tahoma"/>
          <w:color w:val="4A4A4A"/>
          <w:spacing w:val="-1"/>
          <w:sz w:val="11"/>
          <w:lang w:val="uk-UA" w:eastAsia="ru-RU"/>
        </w:rPr>
        <w:t> </w:t>
      </w:r>
      <w:r w:rsidRPr="001B0559">
        <w:rPr>
          <w:rFonts w:ascii="Tahoma" w:eastAsia="Times New Roman" w:hAnsi="Tahoma" w:cs="Tahoma"/>
          <w:color w:val="4A4A4A"/>
          <w:sz w:val="11"/>
          <w:szCs w:val="11"/>
          <w:lang w:val="uk-UA" w:eastAsia="ru-RU"/>
        </w:rPr>
        <w:t>громадянського суспільства.</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4.5. Інформаційно-методичне забезпечення діяльності ОСН та ОСББ:</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сприяння створенню інформаційної бази даних про територію діяльності ОСББ та ОСН (повний перелік вулиць, провулків, площ, кварталів та номерів будинків і квартир, об’єктів інфраструктури, демографічний склад населення та інше);</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сприяння розміщенню на офіційному сайті міської ради інформації стосовно діяльності ОСН та ОСББ; </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регулярне проведення конференцій представників ОСН та ОСББ за участю представників міської ради з актуальних проблем самоорганізації населення.</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Здійснення вищевказаних заходів сприятиме отриманню оперативної інформації щодо локальних проблем територій задля оптимального їх вирішення.</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4.6. Формування механізму ефективної діяльності ОСН та ОСББ у сфері соціально-економічного розвитку локальних територій:</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проведення роботи із залучення населення до здійснення заходів з охорони навколишнього природного середовища, проведення робіт з благоустрою, озеленення та утримання в належному санітарному стані території ОСН та ОСББ;</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сприяння нагляду за дотриманням прав споживачів – отримувачів житлово-комунальних послуг;</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проведення роботи з населенням щодо своєчасності здійснення оплати за отримані житлово-комунальні послуги;</w:t>
      </w:r>
    </w:p>
    <w:p w:rsidR="001B0559" w:rsidRPr="001B0559" w:rsidRDefault="001B0559" w:rsidP="001B0559">
      <w:pPr>
        <w:shd w:val="clear" w:color="auto" w:fill="FFFFFF"/>
        <w:spacing w:after="180"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проведення міського конкурсу благоустрою та енергоефективності серед будинків, дворів, вулиць на умовах співфінансування, проведення з цією метою циклу семінарів-тренінгів з представниками ОСН та ОСББ, бажаючими брати участь у таких конкурсах;</w:t>
      </w:r>
    </w:p>
    <w:p w:rsidR="001B0559" w:rsidRPr="001B0559" w:rsidRDefault="001B0559" w:rsidP="001B0559">
      <w:pPr>
        <w:shd w:val="clear" w:color="auto" w:fill="FFFFFF"/>
        <w:spacing w:after="180" w:line="360" w:lineRule="atLeast"/>
        <w:ind w:right="-180"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запровадження програми „Цивілізований під’їзд” (на конкурсних засадах);</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Здійснення вищевказаних заходів вирішить проблему благоустрою окремих територій, поліпшить рівень надання житлово-комунальних послуг, поповнення доходної частини бюджетів, сприятиме висвітленню діяльності ОСН та ОСББ та обміну досвідом.</w:t>
      </w:r>
    </w:p>
    <w:p w:rsidR="001B0559" w:rsidRPr="001B0559" w:rsidRDefault="001B0559" w:rsidP="001B0559">
      <w:pPr>
        <w:shd w:val="clear" w:color="auto" w:fill="FFFFFF"/>
        <w:spacing w:after="180" w:line="360" w:lineRule="atLeast"/>
        <w:ind w:firstLine="708"/>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firstLine="720"/>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4.7. Розробка Положення про міський конкурс з благоустрою та підвищення енергоефективності житлового фонду м. Сєвєродонецька.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5. Фінансове забезпечення Програми</w:t>
      </w:r>
    </w:p>
    <w:p w:rsidR="001B0559" w:rsidRPr="001B0559" w:rsidRDefault="001B0559" w:rsidP="001B0559">
      <w:pPr>
        <w:shd w:val="clear" w:color="auto" w:fill="FFFFFF"/>
        <w:spacing w:line="326" w:lineRule="atLeast"/>
        <w:ind w:left="14" w:right="14" w:firstLine="715"/>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line="326" w:lineRule="atLeast"/>
        <w:ind w:left="14" w:right="14" w:firstLine="715"/>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Фінансування Програми здійснюється відповідно до законодавства за рахунок джерел, не заборонених чинним законодавством.</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Основними джерелами фінансування заходів Програми є:</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1. Кошти Державного бюджету України та міського бюджету .</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lastRenderedPageBreak/>
        <w:t>2. Гранти, кредити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вітчизняних комерційних банків, благодійні внески.</w:t>
      </w:r>
    </w:p>
    <w:p w:rsidR="001B0559" w:rsidRPr="001B0559" w:rsidRDefault="001B0559" w:rsidP="001B0559">
      <w:pPr>
        <w:shd w:val="clear" w:color="auto" w:fill="FFFFFF"/>
        <w:spacing w:line="360" w:lineRule="atLeast"/>
        <w:ind w:firstLine="720"/>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3. Кошти мешканців ОСН та ОСББ.</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6. Контроль за ходом виконання Програми</w:t>
      </w:r>
    </w:p>
    <w:p w:rsidR="001B0559" w:rsidRPr="001B0559" w:rsidRDefault="001B0559" w:rsidP="001B0559">
      <w:pPr>
        <w:shd w:val="clear" w:color="auto" w:fill="FFFFFF"/>
        <w:spacing w:after="180" w:line="360" w:lineRule="atLeast"/>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 </w:t>
      </w:r>
    </w:p>
    <w:p w:rsidR="001B0559" w:rsidRPr="001B0559" w:rsidRDefault="001B0559" w:rsidP="001B0559">
      <w:pPr>
        <w:shd w:val="clear" w:color="auto" w:fill="FFFFFF"/>
        <w:spacing w:after="180" w:line="360" w:lineRule="atLeast"/>
        <w:ind w:firstLine="709"/>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shd w:val="clear" w:color="auto" w:fill="FFFFFF"/>
          <w:lang w:val="uk-UA" w:eastAsia="ru-RU"/>
        </w:rPr>
        <w:t>Контроль за ходом виконання Програми здійснюється постійною</w:t>
      </w:r>
      <w:r w:rsidRPr="001B0559">
        <w:rPr>
          <w:rFonts w:ascii="Tahoma" w:eastAsia="Times New Roman" w:hAnsi="Tahoma" w:cs="Tahoma"/>
          <w:color w:val="4A4A4A"/>
          <w:sz w:val="11"/>
          <w:szCs w:val="11"/>
          <w:shd w:val="clear" w:color="auto" w:fill="FFFFFF"/>
          <w:lang w:val="uk-UA" w:eastAsia="ru-RU"/>
        </w:rPr>
        <w:br/>
      </w:r>
      <w:r w:rsidRPr="001B0559">
        <w:rPr>
          <w:rFonts w:ascii="Tahoma" w:eastAsia="Times New Roman" w:hAnsi="Tahoma" w:cs="Tahoma"/>
          <w:color w:val="4A4A4A"/>
          <w:spacing w:val="-1"/>
          <w:sz w:val="11"/>
          <w:szCs w:val="11"/>
          <w:shd w:val="clear" w:color="auto" w:fill="FFFFFF"/>
          <w:lang w:val="uk-UA" w:eastAsia="ru-RU"/>
        </w:rPr>
        <w:t>комісією міської ради по управлінню житлово-комунального господарства, власністю, комунальною власністю, побутовим та торгівельним обслуговуванням</w:t>
      </w:r>
      <w:r w:rsidRPr="001B0559">
        <w:rPr>
          <w:rFonts w:ascii="Tahoma" w:eastAsia="Times New Roman" w:hAnsi="Tahoma" w:cs="Tahoma"/>
          <w:color w:val="4A4A4A"/>
          <w:sz w:val="11"/>
          <w:szCs w:val="11"/>
          <w:shd w:val="clear" w:color="auto" w:fill="FFFFFF"/>
          <w:lang w:val="uk-UA" w:eastAsia="ru-RU"/>
        </w:rPr>
        <w:t>.</w:t>
      </w:r>
    </w:p>
    <w:p w:rsidR="001B0559" w:rsidRPr="001B0559" w:rsidRDefault="001B0559" w:rsidP="001B0559">
      <w:pPr>
        <w:shd w:val="clear" w:color="auto" w:fill="FFFFFF"/>
        <w:spacing w:before="322" w:line="360" w:lineRule="atLeast"/>
        <w:ind w:left="14"/>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11"/>
          <w:szCs w:val="11"/>
          <w:lang w:val="uk-UA" w:eastAsia="ru-RU"/>
        </w:rPr>
        <w:t>7. Очікувані результати від виконання заходів Програми</w:t>
      </w:r>
    </w:p>
    <w:p w:rsidR="001B0559" w:rsidRPr="001B0559" w:rsidRDefault="001B0559" w:rsidP="001B0559">
      <w:pPr>
        <w:shd w:val="clear" w:color="auto" w:fill="FFFFFF"/>
        <w:spacing w:after="180" w:line="360" w:lineRule="atLeast"/>
        <w:ind w:left="731"/>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ind w:left="731"/>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Виконання заходів Програми дозволить досягти наступних результатів:</w:t>
      </w:r>
    </w:p>
    <w:p w:rsidR="001B0559" w:rsidRPr="001B0559" w:rsidRDefault="001B0559" w:rsidP="001B0559">
      <w:pPr>
        <w:shd w:val="clear" w:color="auto" w:fill="FFFFFF"/>
        <w:spacing w:after="180" w:line="322"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створення ефективно діючих ОСН та ОСББ в місті;</w:t>
      </w:r>
    </w:p>
    <w:p w:rsidR="001B0559" w:rsidRPr="001B0559" w:rsidRDefault="001B0559" w:rsidP="001B0559">
      <w:pPr>
        <w:shd w:val="clear" w:color="auto" w:fill="FFFFFF"/>
        <w:spacing w:after="180" w:line="360"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вивчення та поширення позитивного</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pacing w:val="-2"/>
          <w:sz w:val="11"/>
          <w:szCs w:val="11"/>
          <w:lang w:val="uk-UA" w:eastAsia="ru-RU"/>
        </w:rPr>
        <w:t>вітчизняного та закордонного</w:t>
      </w:r>
      <w:r w:rsidRPr="001B0559">
        <w:rPr>
          <w:rFonts w:ascii="Tahoma" w:eastAsia="Times New Roman" w:hAnsi="Tahoma" w:cs="Tahoma"/>
          <w:color w:val="4A4A4A"/>
          <w:spacing w:val="-2"/>
          <w:sz w:val="11"/>
          <w:lang w:val="uk-UA" w:eastAsia="ru-RU"/>
        </w:rPr>
        <w:t> </w:t>
      </w:r>
      <w:r w:rsidRPr="001B0559">
        <w:rPr>
          <w:rFonts w:ascii="Tahoma" w:eastAsia="Times New Roman" w:hAnsi="Tahoma" w:cs="Tahoma"/>
          <w:color w:val="4A4A4A"/>
          <w:spacing w:val="-1"/>
          <w:sz w:val="11"/>
          <w:szCs w:val="11"/>
          <w:lang w:val="uk-UA" w:eastAsia="ru-RU"/>
        </w:rPr>
        <w:t>досвіду вирішення</w:t>
      </w:r>
      <w:r w:rsidRPr="001B0559">
        <w:rPr>
          <w:rFonts w:ascii="Tahoma" w:eastAsia="Times New Roman" w:hAnsi="Tahoma" w:cs="Tahoma"/>
          <w:color w:val="4A4A4A"/>
          <w:spacing w:val="-1"/>
          <w:sz w:val="11"/>
          <w:lang w:val="uk-UA" w:eastAsia="ru-RU"/>
        </w:rPr>
        <w:t> </w:t>
      </w:r>
      <w:r w:rsidRPr="001B0559">
        <w:rPr>
          <w:rFonts w:ascii="Tahoma" w:eastAsia="Times New Roman" w:hAnsi="Tahoma" w:cs="Tahoma"/>
          <w:color w:val="4A4A4A"/>
          <w:sz w:val="11"/>
          <w:szCs w:val="11"/>
          <w:lang w:val="uk-UA" w:eastAsia="ru-RU"/>
        </w:rPr>
        <w:t>проблемних питань розвитку ОСН та ОСББ;</w:t>
      </w:r>
    </w:p>
    <w:p w:rsidR="001B0559" w:rsidRPr="001B0559" w:rsidRDefault="001B0559" w:rsidP="001B0559">
      <w:pPr>
        <w:shd w:val="clear" w:color="auto" w:fill="FFFFFF"/>
        <w:spacing w:after="180" w:line="360"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підвищення професіоналізму представників ОСН та ОСББ, упровадження</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pacing w:val="-1"/>
          <w:sz w:val="11"/>
          <w:szCs w:val="11"/>
          <w:lang w:val="uk-UA" w:eastAsia="ru-RU"/>
        </w:rPr>
        <w:t>ефективних моделей</w:t>
      </w:r>
      <w:r w:rsidRPr="001B0559">
        <w:rPr>
          <w:rFonts w:ascii="Tahoma" w:eastAsia="Times New Roman" w:hAnsi="Tahoma" w:cs="Tahoma"/>
          <w:color w:val="4A4A4A"/>
          <w:spacing w:val="-1"/>
          <w:sz w:val="11"/>
          <w:lang w:val="uk-UA" w:eastAsia="ru-RU"/>
        </w:rPr>
        <w:t> </w:t>
      </w:r>
      <w:r w:rsidRPr="001B0559">
        <w:rPr>
          <w:rFonts w:ascii="Tahoma" w:eastAsia="Times New Roman" w:hAnsi="Tahoma" w:cs="Tahoma"/>
          <w:color w:val="4A4A4A"/>
          <w:sz w:val="11"/>
          <w:szCs w:val="11"/>
          <w:lang w:val="uk-UA" w:eastAsia="ru-RU"/>
        </w:rPr>
        <w:t>розвитку територій;</w:t>
      </w:r>
    </w:p>
    <w:p w:rsidR="001B0559" w:rsidRPr="001B0559" w:rsidRDefault="001B0559" w:rsidP="001B0559">
      <w:pPr>
        <w:shd w:val="clear" w:color="auto" w:fill="FFFFFF"/>
        <w:spacing w:after="180" w:line="322"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створення системи</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pacing w:val="-1"/>
          <w:sz w:val="11"/>
          <w:szCs w:val="11"/>
          <w:lang w:val="uk-UA" w:eastAsia="ru-RU"/>
        </w:rPr>
        <w:t>методичної</w:t>
      </w:r>
      <w:r w:rsidRPr="001B0559">
        <w:rPr>
          <w:rFonts w:ascii="Tahoma" w:eastAsia="Times New Roman" w:hAnsi="Tahoma" w:cs="Tahoma"/>
          <w:color w:val="4A4A4A"/>
          <w:spacing w:val="-1"/>
          <w:sz w:val="11"/>
          <w:lang w:val="uk-UA" w:eastAsia="ru-RU"/>
        </w:rPr>
        <w:t> </w:t>
      </w:r>
      <w:r w:rsidRPr="001B0559">
        <w:rPr>
          <w:rFonts w:ascii="Tahoma" w:eastAsia="Times New Roman" w:hAnsi="Tahoma" w:cs="Tahoma"/>
          <w:color w:val="4A4A4A"/>
          <w:sz w:val="11"/>
          <w:szCs w:val="11"/>
          <w:lang w:val="uk-UA" w:eastAsia="ru-RU"/>
        </w:rPr>
        <w:t>допомоги ОСН та ОСББ;</w:t>
      </w:r>
    </w:p>
    <w:p w:rsidR="001B0559" w:rsidRPr="001B0559" w:rsidRDefault="001B0559" w:rsidP="001B0559">
      <w:pPr>
        <w:shd w:val="clear" w:color="auto" w:fill="FFFFFF"/>
        <w:spacing w:after="180" w:line="322"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pacing w:val="-2"/>
          <w:sz w:val="11"/>
          <w:szCs w:val="11"/>
          <w:lang w:val="uk-UA" w:eastAsia="ru-RU"/>
        </w:rPr>
        <w:t>активізація участі мешканців міста в</w:t>
      </w:r>
      <w:r w:rsidRPr="001B0559">
        <w:rPr>
          <w:rFonts w:ascii="Tahoma" w:eastAsia="Times New Roman" w:hAnsi="Tahoma" w:cs="Tahoma"/>
          <w:color w:val="4A4A4A"/>
          <w:spacing w:val="-2"/>
          <w:sz w:val="11"/>
          <w:lang w:val="uk-UA" w:eastAsia="ru-RU"/>
        </w:rPr>
        <w:t> </w:t>
      </w:r>
      <w:r w:rsidRPr="001B0559">
        <w:rPr>
          <w:rFonts w:ascii="Tahoma" w:eastAsia="Times New Roman" w:hAnsi="Tahoma" w:cs="Tahoma"/>
          <w:color w:val="4A4A4A"/>
          <w:sz w:val="11"/>
          <w:szCs w:val="11"/>
          <w:lang w:val="uk-UA" w:eastAsia="ru-RU"/>
        </w:rPr>
        <w:t>розробленні та впровадженні системи</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pacing w:val="-3"/>
          <w:sz w:val="11"/>
          <w:szCs w:val="11"/>
          <w:lang w:val="uk-UA" w:eastAsia="ru-RU"/>
        </w:rPr>
        <w:t>комплексного підходу до</w:t>
      </w:r>
      <w:r w:rsidRPr="001B0559">
        <w:rPr>
          <w:rFonts w:ascii="Tahoma" w:eastAsia="Times New Roman" w:hAnsi="Tahoma" w:cs="Tahoma"/>
          <w:color w:val="4A4A4A"/>
          <w:spacing w:val="-3"/>
          <w:sz w:val="11"/>
          <w:lang w:val="uk-UA" w:eastAsia="ru-RU"/>
        </w:rPr>
        <w:t> </w:t>
      </w:r>
      <w:r w:rsidRPr="001B0559">
        <w:rPr>
          <w:rFonts w:ascii="Tahoma" w:eastAsia="Times New Roman" w:hAnsi="Tahoma" w:cs="Tahoma"/>
          <w:color w:val="4A4A4A"/>
          <w:sz w:val="11"/>
          <w:szCs w:val="11"/>
          <w:lang w:val="uk-UA" w:eastAsia="ru-RU"/>
        </w:rPr>
        <w:t>розвитку територій, поліпшення екологічного стану, збереження традицій місцевої громади;</w:t>
      </w:r>
    </w:p>
    <w:p w:rsidR="001B0559" w:rsidRPr="001B0559" w:rsidRDefault="001B0559" w:rsidP="001B0559">
      <w:pPr>
        <w:shd w:val="clear" w:color="auto" w:fill="FFFFFF"/>
        <w:spacing w:after="180" w:line="322"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поширення</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pacing w:val="-2"/>
          <w:sz w:val="11"/>
          <w:szCs w:val="11"/>
          <w:lang w:val="uk-UA" w:eastAsia="ru-RU"/>
        </w:rPr>
        <w:t>позитивного досвіду</w:t>
      </w:r>
      <w:r w:rsidRPr="001B0559">
        <w:rPr>
          <w:rFonts w:ascii="Tahoma" w:eastAsia="Times New Roman" w:hAnsi="Tahoma" w:cs="Tahoma"/>
          <w:color w:val="4A4A4A"/>
          <w:spacing w:val="-2"/>
          <w:sz w:val="11"/>
          <w:lang w:val="uk-UA" w:eastAsia="ru-RU"/>
        </w:rPr>
        <w:t> </w:t>
      </w:r>
      <w:r w:rsidRPr="001B0559">
        <w:rPr>
          <w:rFonts w:ascii="Tahoma" w:eastAsia="Times New Roman" w:hAnsi="Tahoma" w:cs="Tahoma"/>
          <w:color w:val="4A4A4A"/>
          <w:sz w:val="11"/>
          <w:szCs w:val="11"/>
          <w:lang w:val="uk-UA" w:eastAsia="ru-RU"/>
        </w:rPr>
        <w:t>та заохочення ОСН та ОСББ;</w:t>
      </w:r>
    </w:p>
    <w:p w:rsidR="001B0559" w:rsidRPr="001B0559" w:rsidRDefault="001B0559" w:rsidP="001B0559">
      <w:pPr>
        <w:shd w:val="clear" w:color="auto" w:fill="FFFFFF"/>
        <w:spacing w:after="180" w:line="322"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упровадження інноваційного підходу до вирішення питань</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pacing w:val="-2"/>
          <w:sz w:val="11"/>
          <w:szCs w:val="11"/>
          <w:lang w:val="uk-UA" w:eastAsia="ru-RU"/>
        </w:rPr>
        <w:t>розвитку території з боку ОСН та</w:t>
      </w:r>
      <w:r w:rsidRPr="001B0559">
        <w:rPr>
          <w:rFonts w:ascii="Tahoma" w:eastAsia="Times New Roman" w:hAnsi="Tahoma" w:cs="Tahoma"/>
          <w:color w:val="4A4A4A"/>
          <w:spacing w:val="-2"/>
          <w:sz w:val="11"/>
          <w:lang w:val="uk-UA" w:eastAsia="ru-RU"/>
        </w:rPr>
        <w:t> </w:t>
      </w:r>
      <w:r w:rsidRPr="001B0559">
        <w:rPr>
          <w:rFonts w:ascii="Tahoma" w:eastAsia="Times New Roman" w:hAnsi="Tahoma" w:cs="Tahoma"/>
          <w:color w:val="4A4A4A"/>
          <w:sz w:val="11"/>
          <w:szCs w:val="11"/>
          <w:lang w:val="uk-UA" w:eastAsia="ru-RU"/>
        </w:rPr>
        <w:t>ОСББ;</w:t>
      </w:r>
    </w:p>
    <w:p w:rsidR="001B0559" w:rsidRPr="001B0559" w:rsidRDefault="001B0559" w:rsidP="001B0559">
      <w:pPr>
        <w:shd w:val="clear" w:color="auto" w:fill="FFFFFF"/>
        <w:spacing w:after="180" w:line="360"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створення механізму об’єднання та представництва ОСН та ОСББ через Асоціації;</w:t>
      </w:r>
    </w:p>
    <w:p w:rsidR="001B0559" w:rsidRPr="001B0559" w:rsidRDefault="001B0559" w:rsidP="001B0559">
      <w:pPr>
        <w:shd w:val="clear" w:color="auto" w:fill="FFFFFF"/>
        <w:spacing w:after="180" w:line="360"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розвиток державно-приватного партнерства (співпраця влади та  </w:t>
      </w:r>
      <w:r w:rsidRPr="001B0559">
        <w:rPr>
          <w:rFonts w:ascii="Tahoma" w:eastAsia="Times New Roman" w:hAnsi="Tahoma" w:cs="Tahoma"/>
          <w:color w:val="4A4A4A"/>
          <w:sz w:val="11"/>
          <w:lang w:val="uk-UA" w:eastAsia="ru-RU"/>
        </w:rPr>
        <w:t> </w:t>
      </w:r>
      <w:r w:rsidRPr="001B0559">
        <w:rPr>
          <w:rFonts w:ascii="Tahoma" w:eastAsia="Times New Roman" w:hAnsi="Tahoma" w:cs="Tahoma"/>
          <w:color w:val="4A4A4A"/>
          <w:sz w:val="11"/>
          <w:szCs w:val="11"/>
          <w:lang w:val="uk-UA" w:eastAsia="ru-RU"/>
        </w:rPr>
        <w:t>громади);</w:t>
      </w:r>
    </w:p>
    <w:p w:rsidR="001B0559" w:rsidRPr="001B0559" w:rsidRDefault="001B0559" w:rsidP="001B0559">
      <w:pPr>
        <w:shd w:val="clear" w:color="auto" w:fill="FFFFFF"/>
        <w:spacing w:after="180" w:line="360" w:lineRule="atLeast"/>
        <w:ind w:left="720" w:hanging="360"/>
        <w:jc w:val="both"/>
        <w:rPr>
          <w:rFonts w:ascii="Tahoma" w:eastAsia="Times New Roman" w:hAnsi="Tahoma" w:cs="Tahoma"/>
          <w:color w:val="4A4A4A"/>
          <w:sz w:val="11"/>
          <w:szCs w:val="11"/>
          <w:lang w:eastAsia="ru-RU"/>
        </w:rPr>
      </w:pPr>
      <w:r w:rsidRPr="001B0559">
        <w:rPr>
          <w:rFonts w:ascii="Wingdings 2" w:eastAsia="Times New Roman" w:hAnsi="Wingdings 2" w:cs="Tahoma"/>
          <w:color w:val="4A4A4A"/>
          <w:sz w:val="11"/>
          <w:szCs w:val="11"/>
          <w:lang w:val="uk-UA" w:eastAsia="ru-RU"/>
        </w:rPr>
        <w:t></w:t>
      </w:r>
      <w:r w:rsidRPr="001B0559">
        <w:rPr>
          <w:rFonts w:ascii="Times New Roman" w:eastAsia="Times New Roman" w:hAnsi="Times New Roman" w:cs="Times New Roman"/>
          <w:color w:val="4A4A4A"/>
          <w:sz w:val="14"/>
          <w:szCs w:val="14"/>
          <w:lang w:val="uk-UA" w:eastAsia="ru-RU"/>
        </w:rPr>
        <w:t>    </w:t>
      </w:r>
      <w:r w:rsidRPr="001B0559">
        <w:rPr>
          <w:rFonts w:ascii="Times New Roman" w:eastAsia="Times New Roman" w:hAnsi="Times New Roman" w:cs="Times New Roman"/>
          <w:color w:val="4A4A4A"/>
          <w:sz w:val="14"/>
          <w:lang w:val="uk-UA" w:eastAsia="ru-RU"/>
        </w:rPr>
        <w:t> </w:t>
      </w:r>
      <w:r w:rsidRPr="001B0559">
        <w:rPr>
          <w:rFonts w:ascii="Tahoma" w:eastAsia="Times New Roman" w:hAnsi="Tahoma" w:cs="Tahoma"/>
          <w:color w:val="4A4A4A"/>
          <w:sz w:val="11"/>
          <w:szCs w:val="11"/>
          <w:lang w:val="uk-UA" w:eastAsia="ru-RU"/>
        </w:rPr>
        <w:t>дотримання прозорості та звітності використання бюджетних, залучених та громадських коштів.</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after="180" w:line="360" w:lineRule="atLeast"/>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line="322" w:lineRule="atLeast"/>
        <w:ind w:left="19" w:right="5" w:firstLine="715"/>
        <w:jc w:val="both"/>
        <w:rPr>
          <w:rFonts w:ascii="Tahoma" w:eastAsia="Times New Roman" w:hAnsi="Tahoma" w:cs="Tahoma"/>
          <w:color w:val="4A4A4A"/>
          <w:sz w:val="11"/>
          <w:szCs w:val="11"/>
          <w:lang w:eastAsia="ru-RU"/>
        </w:rPr>
      </w:pPr>
      <w:r w:rsidRPr="001B0559">
        <w:rPr>
          <w:rFonts w:ascii="Tahoma" w:eastAsia="Times New Roman" w:hAnsi="Tahoma" w:cs="Tahoma"/>
          <w:color w:val="4A4A4A"/>
          <w:sz w:val="11"/>
          <w:szCs w:val="11"/>
          <w:lang w:val="uk-UA" w:eastAsia="ru-RU"/>
        </w:rPr>
        <w:t> </w:t>
      </w:r>
    </w:p>
    <w:p w:rsidR="001B0559" w:rsidRPr="001B0559" w:rsidRDefault="001B0559" w:rsidP="001B0559">
      <w:pPr>
        <w:shd w:val="clear" w:color="auto" w:fill="FFFFFF"/>
        <w:spacing w:line="336" w:lineRule="atLeast"/>
        <w:ind w:left="57" w:right="56"/>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4"/>
          <w:szCs w:val="24"/>
          <w:lang w:val="uk-UA" w:eastAsia="ru-RU"/>
        </w:rPr>
        <w:t>ЗАВДАННЯ І ЗАХОДИ</w:t>
      </w:r>
    </w:p>
    <w:p w:rsidR="001B0559" w:rsidRPr="001B0559" w:rsidRDefault="001B0559" w:rsidP="001B0559">
      <w:pPr>
        <w:shd w:val="clear" w:color="auto" w:fill="FFFFFF"/>
        <w:spacing w:line="336" w:lineRule="atLeast"/>
        <w:ind w:left="57" w:right="56"/>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4"/>
          <w:szCs w:val="24"/>
          <w:lang w:val="uk-UA" w:eastAsia="ru-RU"/>
        </w:rPr>
        <w:t>з виконання міської цільової Програми</w:t>
      </w:r>
    </w:p>
    <w:p w:rsidR="001B0559" w:rsidRPr="001B0559" w:rsidRDefault="001B0559" w:rsidP="001B0559">
      <w:pPr>
        <w:shd w:val="clear" w:color="auto" w:fill="FFFFFF"/>
        <w:spacing w:after="180" w:line="360" w:lineRule="atLeast"/>
        <w:ind w:left="57"/>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4"/>
          <w:szCs w:val="24"/>
          <w:lang w:val="uk-UA" w:eastAsia="ru-RU"/>
        </w:rPr>
        <w:t>сприяння громадянській активності в реформуванні житлово-комунального господарства м.Сєвєродонецька</w:t>
      </w:r>
    </w:p>
    <w:p w:rsidR="001B0559" w:rsidRPr="001B0559" w:rsidRDefault="001B0559" w:rsidP="001B0559">
      <w:pPr>
        <w:shd w:val="clear" w:color="auto" w:fill="FFFFFF"/>
        <w:spacing w:after="180" w:line="360" w:lineRule="atLeast"/>
        <w:ind w:left="57"/>
        <w:jc w:val="center"/>
        <w:rPr>
          <w:rFonts w:ascii="Tahoma" w:eastAsia="Times New Roman" w:hAnsi="Tahoma" w:cs="Tahoma"/>
          <w:color w:val="4A4A4A"/>
          <w:sz w:val="11"/>
          <w:szCs w:val="11"/>
          <w:lang w:eastAsia="ru-RU"/>
        </w:rPr>
      </w:pPr>
      <w:r w:rsidRPr="001B0559">
        <w:rPr>
          <w:rFonts w:ascii="Tahoma" w:eastAsia="Times New Roman" w:hAnsi="Tahoma" w:cs="Tahoma"/>
          <w:b/>
          <w:bCs/>
          <w:color w:val="4A4A4A"/>
          <w:sz w:val="24"/>
          <w:szCs w:val="24"/>
          <w:lang w:val="uk-UA" w:eastAsia="ru-RU"/>
        </w:rPr>
        <w:t>на 2013 – 2017 роки</w:t>
      </w:r>
    </w:p>
    <w:p w:rsidR="001B0559" w:rsidRPr="001B0559" w:rsidRDefault="001B0559" w:rsidP="001B0559">
      <w:pPr>
        <w:shd w:val="clear" w:color="auto" w:fill="FFFFFF"/>
        <w:spacing w:line="336" w:lineRule="atLeast"/>
        <w:ind w:left="57" w:right="56"/>
        <w:rPr>
          <w:rFonts w:ascii="Tahoma" w:eastAsia="Times New Roman" w:hAnsi="Tahoma" w:cs="Tahoma"/>
          <w:color w:val="4A4A4A"/>
          <w:sz w:val="11"/>
          <w:szCs w:val="11"/>
          <w:lang w:eastAsia="ru-RU"/>
        </w:rPr>
      </w:pPr>
      <w:r w:rsidRPr="001B0559">
        <w:rPr>
          <w:rFonts w:ascii="Tahoma" w:eastAsia="Times New Roman" w:hAnsi="Tahoma" w:cs="Tahoma"/>
          <w:b/>
          <w:bCs/>
          <w:color w:val="4A4A4A"/>
          <w:sz w:val="24"/>
          <w:szCs w:val="24"/>
          <w:lang w:eastAsia="ru-RU"/>
        </w:rPr>
        <w:t> </w:t>
      </w:r>
    </w:p>
    <w:tbl>
      <w:tblPr>
        <w:tblW w:w="0" w:type="auto"/>
        <w:tblInd w:w="108" w:type="dxa"/>
        <w:shd w:val="clear" w:color="auto" w:fill="FFFFFF"/>
        <w:tblCellMar>
          <w:left w:w="0" w:type="dxa"/>
          <w:right w:w="0" w:type="dxa"/>
        </w:tblCellMar>
        <w:tblLook w:val="04A0"/>
      </w:tblPr>
      <w:tblGrid>
        <w:gridCol w:w="450"/>
        <w:gridCol w:w="1172"/>
        <w:gridCol w:w="1338"/>
        <w:gridCol w:w="890"/>
        <w:gridCol w:w="1614"/>
        <w:gridCol w:w="1240"/>
        <w:gridCol w:w="1065"/>
        <w:gridCol w:w="1500"/>
        <w:gridCol w:w="86"/>
      </w:tblGrid>
      <w:tr w:rsidR="001B0559" w:rsidRPr="001B0559" w:rsidTr="001B0559">
        <w:trPr>
          <w:trHeight w:val="1810"/>
        </w:trPr>
        <w:tc>
          <w:tcPr>
            <w:tcW w:w="56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lastRenderedPageBreak/>
              <w:t>№</w:t>
            </w:r>
          </w:p>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з/п</w:t>
            </w:r>
          </w:p>
        </w:tc>
        <w:tc>
          <w:tcPr>
            <w:tcW w:w="1700"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after="180" w:line="360"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Назва</w:t>
            </w:r>
          </w:p>
          <w:p w:rsidR="001B0559" w:rsidRPr="001B0559" w:rsidRDefault="001B0559" w:rsidP="001B0559">
            <w:pPr>
              <w:spacing w:line="360" w:lineRule="atLeast"/>
              <w:ind w:left="57" w:right="-180"/>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напряму діяльності (пріоритет-</w:t>
            </w:r>
            <w:r w:rsidRPr="001B0559">
              <w:rPr>
                <w:rFonts w:ascii="Times New Roman" w:eastAsia="Times New Roman" w:hAnsi="Times New Roman" w:cs="Times New Roman"/>
                <w:b/>
                <w:bCs/>
                <w:color w:val="4A4A4A"/>
                <w:sz w:val="24"/>
                <w:szCs w:val="24"/>
                <w:lang w:val="uk-UA" w:eastAsia="ru-RU"/>
              </w:rPr>
              <w:br/>
              <w:t>ні завдання)</w:t>
            </w:r>
          </w:p>
        </w:tc>
        <w:tc>
          <w:tcPr>
            <w:tcW w:w="3118"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after="180" w:line="360"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Зміст заходів Програми </w:t>
            </w:r>
            <w:r w:rsidRPr="001B0559">
              <w:rPr>
                <w:rFonts w:ascii="Times New Roman" w:eastAsia="Times New Roman" w:hAnsi="Times New Roman" w:cs="Times New Roman"/>
                <w:b/>
                <w:bCs/>
                <w:color w:val="4A4A4A"/>
                <w:sz w:val="24"/>
                <w:szCs w:val="24"/>
                <w:lang w:val="uk-UA" w:eastAsia="ru-RU"/>
              </w:rPr>
              <w:br/>
              <w:t>з виконання завдання</w:t>
            </w:r>
          </w:p>
        </w:tc>
        <w:tc>
          <w:tcPr>
            <w:tcW w:w="1276"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hd w:val="clear" w:color="auto" w:fill="FFFFFF"/>
              <w:spacing w:after="180" w:line="317"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Строки</w:t>
            </w:r>
          </w:p>
          <w:p w:rsidR="001B0559" w:rsidRPr="001B0559" w:rsidRDefault="001B0559" w:rsidP="001B0559">
            <w:pPr>
              <w:shd w:val="clear" w:color="auto" w:fill="FFFFFF"/>
              <w:spacing w:line="317" w:lineRule="atLeast"/>
              <w:ind w:left="57" w:right="-215"/>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виконання</w:t>
            </w:r>
          </w:p>
          <w:p w:rsidR="001B0559" w:rsidRPr="001B0559" w:rsidRDefault="001B0559" w:rsidP="001B0559">
            <w:pPr>
              <w:spacing w:after="180" w:line="360"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 </w:t>
            </w:r>
          </w:p>
        </w:tc>
        <w:tc>
          <w:tcPr>
            <w:tcW w:w="2408"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after="180" w:line="360"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Виконавці</w:t>
            </w:r>
          </w:p>
        </w:tc>
        <w:tc>
          <w:tcPr>
            <w:tcW w:w="1557"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after="180" w:line="360"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Джерела фінансування</w:t>
            </w:r>
          </w:p>
        </w:tc>
        <w:tc>
          <w:tcPr>
            <w:tcW w:w="1982" w:type="dxa"/>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hd w:val="clear" w:color="auto" w:fill="FFFFFF"/>
              <w:spacing w:after="180" w:line="322"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Орієнтовні</w:t>
            </w:r>
          </w:p>
          <w:p w:rsidR="001B0559" w:rsidRPr="001B0559" w:rsidRDefault="001B0559" w:rsidP="001B0559">
            <w:pPr>
              <w:spacing w:after="180" w:line="360"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обсяги фінансових ресурсів,</w:t>
            </w:r>
          </w:p>
          <w:p w:rsidR="001B0559" w:rsidRPr="001B0559" w:rsidRDefault="001B0559" w:rsidP="001B0559">
            <w:pPr>
              <w:spacing w:after="180" w:line="360"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тис. грн, у тому числі за роками</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0559" w:rsidRPr="001B0559" w:rsidRDefault="001B0559" w:rsidP="001B0559">
            <w:pPr>
              <w:spacing w:after="180" w:line="360" w:lineRule="atLeast"/>
              <w:ind w:left="57"/>
              <w:jc w:val="center"/>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Очікувані результати від виконання заходів</w:t>
            </w:r>
          </w:p>
        </w:tc>
        <w:tc>
          <w:tcPr>
            <w:tcW w:w="24" w:type="dxa"/>
            <w:tcBorders>
              <w:top w:val="nil"/>
              <w:left w:val="nil"/>
              <w:bottom w:val="nil"/>
              <w:right w:val="nil"/>
            </w:tcBorders>
            <w:shd w:val="clear" w:color="auto" w:fill="FFFFFF"/>
            <w:vAlign w:val="center"/>
            <w:hideMark/>
          </w:tcPr>
          <w:p w:rsidR="001B0559" w:rsidRPr="001B0559" w:rsidRDefault="001B0559" w:rsidP="001B0559">
            <w:pPr>
              <w:spacing w:after="180" w:line="360" w:lineRule="atLeast"/>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eastAsia="ru-RU"/>
              </w:rPr>
              <w:t> </w:t>
            </w:r>
          </w:p>
        </w:tc>
      </w:tr>
      <w:tr w:rsidR="001B0559" w:rsidRPr="001B0559" w:rsidTr="001B0559">
        <w:trPr>
          <w:trHeight w:val="2074"/>
        </w:trPr>
        <w:tc>
          <w:tcPr>
            <w:tcW w:w="567"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1.</w:t>
            </w:r>
          </w:p>
        </w:tc>
        <w:tc>
          <w:tcPr>
            <w:tcW w:w="1700"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Вивчення стану справ щодо виконання Законів України</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 органи самоорганізації населення”, „Про об’єднан-</w:t>
            </w:r>
            <w:r w:rsidRPr="001B0559">
              <w:rPr>
                <w:rFonts w:ascii="Times New Roman" w:eastAsia="Times New Roman" w:hAnsi="Times New Roman" w:cs="Times New Roman"/>
                <w:color w:val="4A4A4A"/>
                <w:sz w:val="24"/>
                <w:szCs w:val="24"/>
                <w:lang w:val="uk-UA" w:eastAsia="ru-RU"/>
              </w:rPr>
              <w:br/>
              <w:t>ня співвласників багатоквартир-</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ного будинку”</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 м. Сєвєродонецьк</w:t>
            </w:r>
          </w:p>
        </w:tc>
        <w:tc>
          <w:tcPr>
            <w:tcW w:w="311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Визначення кількості створених та зареєстрова-</w:t>
            </w:r>
            <w:r w:rsidRPr="001B0559">
              <w:rPr>
                <w:rFonts w:ascii="Times New Roman" w:eastAsia="Times New Roman" w:hAnsi="Times New Roman" w:cs="Times New Roman"/>
                <w:color w:val="4A4A4A"/>
                <w:sz w:val="24"/>
                <w:szCs w:val="24"/>
                <w:lang w:val="uk-UA" w:eastAsia="ru-RU"/>
              </w:rPr>
              <w:br/>
              <w:t>них ОСН та ОСББ в м. Сєвєродонецьк</w:t>
            </w:r>
          </w:p>
        </w:tc>
        <w:tc>
          <w:tcPr>
            <w:tcW w:w="127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hd w:val="clear" w:color="auto" w:fill="FFFFFF"/>
              <w:spacing w:line="317"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w:t>
            </w:r>
          </w:p>
        </w:tc>
        <w:tc>
          <w:tcPr>
            <w:tcW w:w="24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відділ реєстрації юридичних осіб, представники ОСН</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та ОСББ</w:t>
            </w:r>
          </w:p>
        </w:tc>
        <w:tc>
          <w:tcPr>
            <w:tcW w:w="155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Отримання інформації щодо існуючих та офіційно зареєстрова-</w:t>
            </w:r>
            <w:r w:rsidRPr="001B0559">
              <w:rPr>
                <w:rFonts w:ascii="Times New Roman" w:eastAsia="Times New Roman" w:hAnsi="Times New Roman" w:cs="Times New Roman"/>
                <w:color w:val="4A4A4A"/>
                <w:sz w:val="24"/>
                <w:szCs w:val="24"/>
                <w:lang w:val="uk-UA" w:eastAsia="ru-RU"/>
              </w:rPr>
              <w:br/>
              <w:t>них ОСН та ОСББ</w:t>
            </w:r>
          </w:p>
        </w:tc>
        <w:tc>
          <w:tcPr>
            <w:tcW w:w="24" w:type="dxa"/>
            <w:tcBorders>
              <w:top w:val="nil"/>
              <w:left w:val="nil"/>
              <w:bottom w:val="nil"/>
              <w:right w:val="nil"/>
            </w:tcBorders>
            <w:shd w:val="clear" w:color="auto" w:fill="FFFFFF"/>
            <w:vAlign w:val="center"/>
            <w:hideMark/>
          </w:tcPr>
          <w:p w:rsidR="001B0559" w:rsidRPr="001B0559" w:rsidRDefault="001B0559" w:rsidP="001B0559">
            <w:pPr>
              <w:spacing w:after="180" w:line="360" w:lineRule="atLeast"/>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eastAsia="ru-RU"/>
              </w:rPr>
              <w:t> </w:t>
            </w:r>
          </w:p>
        </w:tc>
      </w:tr>
      <w:tr w:rsidR="001B0559" w:rsidRPr="001B0559" w:rsidTr="001B0559">
        <w:trPr>
          <w:trHeight w:val="1539"/>
        </w:trPr>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Визначення стану матеріально-технічної забезпеченості ОСН та </w:t>
            </w:r>
            <w:r w:rsidRPr="001B0559">
              <w:rPr>
                <w:rFonts w:ascii="Times New Roman" w:eastAsia="Times New Roman" w:hAnsi="Times New Roman" w:cs="Times New Roman"/>
                <w:color w:val="4A4A4A"/>
                <w:sz w:val="24"/>
                <w:szCs w:val="24"/>
                <w:lang w:val="uk-UA" w:eastAsia="ru-RU"/>
              </w:rPr>
              <w:br/>
              <w:t>ОСББ в м. Сєвєродонецьк</w:t>
            </w:r>
          </w:p>
        </w:tc>
        <w:tc>
          <w:tcPr>
            <w:tcW w:w="1276"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hd w:val="clear" w:color="auto" w:fill="FFFFFF"/>
              <w:spacing w:line="317"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2013-2014 рік</w:t>
            </w:r>
          </w:p>
        </w:tc>
        <w:tc>
          <w:tcPr>
            <w:tcW w:w="240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 представники ОСН та ОСББ</w:t>
            </w:r>
          </w:p>
        </w:tc>
        <w:tc>
          <w:tcPr>
            <w:tcW w:w="1557"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Отримання інформації стосовно стану матеріально-технічної забезпеченості ОСН та ОСББ</w:t>
            </w:r>
          </w:p>
        </w:tc>
        <w:tc>
          <w:tcPr>
            <w:tcW w:w="24" w:type="dxa"/>
            <w:tcBorders>
              <w:top w:val="nil"/>
              <w:left w:val="nil"/>
              <w:bottom w:val="nil"/>
              <w:right w:val="nil"/>
            </w:tcBorders>
            <w:shd w:val="clear" w:color="auto" w:fill="FFFFFF"/>
            <w:vAlign w:val="center"/>
            <w:hideMark/>
          </w:tcPr>
          <w:p w:rsidR="001B0559" w:rsidRPr="001B0559" w:rsidRDefault="001B0559" w:rsidP="001B0559">
            <w:pPr>
              <w:spacing w:after="180" w:line="360" w:lineRule="atLeast"/>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eastAsia="ru-RU"/>
              </w:rPr>
              <w:t> </w:t>
            </w:r>
          </w:p>
        </w:tc>
      </w:tr>
      <w:tr w:rsidR="001B0559" w:rsidRPr="001B0559" w:rsidTr="001B0559">
        <w:tc>
          <w:tcPr>
            <w:tcW w:w="567" w:type="dxa"/>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 </w:t>
            </w:r>
          </w:p>
        </w:tc>
        <w:tc>
          <w:tcPr>
            <w:tcW w:w="1700"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Проведення соціологічних опитувань мешканців відповідних територій щодо організації та якості роботи ОСН та ОСББ</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 представники ОСН та ОСББ</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8,0</w:t>
            </w:r>
            <w:r w:rsidRPr="001B0559">
              <w:rPr>
                <w:rFonts w:ascii="Times New Roman" w:eastAsia="Times New Roman" w:hAnsi="Times New Roman" w:cs="Times New Roman"/>
                <w:color w:val="993300"/>
                <w:sz w:val="24"/>
                <w:szCs w:val="24"/>
                <w:lang w:val="uk-UA" w:eastAsia="ru-RU"/>
              </w:rPr>
              <w:t>,</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2,0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2,0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2,0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2017  рік – 2,0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Отримання кваліфікова-</w:t>
            </w:r>
            <w:r w:rsidRPr="001B0559">
              <w:rPr>
                <w:rFonts w:ascii="Times New Roman" w:eastAsia="Times New Roman" w:hAnsi="Times New Roman" w:cs="Times New Roman"/>
                <w:color w:val="4A4A4A"/>
                <w:sz w:val="24"/>
                <w:szCs w:val="24"/>
                <w:lang w:val="uk-UA" w:eastAsia="ru-RU"/>
              </w:rPr>
              <w:br/>
              <w:t>ної аналітичної інфор-</w:t>
            </w:r>
            <w:r w:rsidRPr="001B0559">
              <w:rPr>
                <w:rFonts w:ascii="Times New Roman" w:eastAsia="Times New Roman" w:hAnsi="Times New Roman" w:cs="Times New Roman"/>
                <w:color w:val="4A4A4A"/>
                <w:sz w:val="24"/>
                <w:szCs w:val="24"/>
                <w:lang w:val="uk-UA" w:eastAsia="ru-RU"/>
              </w:rPr>
              <w:br/>
              <w:t>мації для визначення</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потреб територіальної громади</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567"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w:t>
            </w:r>
          </w:p>
        </w:tc>
        <w:tc>
          <w:tcPr>
            <w:tcW w:w="1700"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Сприяння створенню ОСН та  ОСББ у м. Сєвєродонецьк</w:t>
            </w: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Сприяння проведенню організаційно-установчої роботи щодо створення ОСН та ОСББ у м. Сєвєродонецьк;</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Створення ефективно діючих ОСН та ОСББ</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Проведення роз’яснювальної роботи (друк буклетів та методичної літератури,</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інформаційних матеріалів, створення фотоматеріалів)</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відділ по роботі з ЗМІ, представники ОСН та ОСББ</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10,0</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2,0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2014 рік – 2,0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2,0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2,0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2017  рік – 2,0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Ефективна організація створення ОСН та ОСББ</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Проведення зборів</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мешканців багатоквартирних житлових будинків</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«Житлосервіси»,</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відділ по роботі з ЗМІ, представники ОСН та ОСББ.</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Створення органів ОСН </w:t>
            </w:r>
            <w:r w:rsidRPr="001B0559">
              <w:rPr>
                <w:rFonts w:ascii="Times New Roman" w:eastAsia="Times New Roman" w:hAnsi="Times New Roman" w:cs="Times New Roman"/>
                <w:color w:val="4A4A4A"/>
                <w:sz w:val="24"/>
                <w:szCs w:val="24"/>
                <w:lang w:val="uk-UA" w:eastAsia="ru-RU"/>
              </w:rPr>
              <w:br/>
              <w:t>та ОСББ в місті</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567"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 </w:t>
            </w:r>
          </w:p>
        </w:tc>
        <w:tc>
          <w:tcPr>
            <w:tcW w:w="1700"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Участь керівників ОСН та ОСББ у вивченні, аналізі, узагальненні та впроваджен-</w:t>
            </w:r>
            <w:r w:rsidRPr="001B0559">
              <w:rPr>
                <w:rFonts w:ascii="Times New Roman" w:eastAsia="Times New Roman" w:hAnsi="Times New Roman" w:cs="Times New Roman"/>
                <w:color w:val="4A4A4A"/>
                <w:sz w:val="24"/>
                <w:szCs w:val="24"/>
                <w:lang w:val="uk-UA" w:eastAsia="ru-RU"/>
              </w:rPr>
              <w:br/>
              <w:t>ні вітчизняного досвіду </w:t>
            </w:r>
            <w:r w:rsidRPr="001B0559">
              <w:rPr>
                <w:rFonts w:ascii="Times New Roman" w:eastAsia="Times New Roman" w:hAnsi="Times New Roman" w:cs="Times New Roman"/>
                <w:color w:val="4A4A4A"/>
                <w:sz w:val="24"/>
                <w:szCs w:val="24"/>
                <w:lang w:val="uk-UA" w:eastAsia="ru-RU"/>
              </w:rPr>
              <w:br/>
              <w:t>розвитку органів місцевого самоврядування та самоорганізації населення</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 представники ОСН та ОСББ,</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САРГ,</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Громадська рада</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Вивчення та поширення позитивного вітчизняно-</w:t>
            </w:r>
            <w:r w:rsidRPr="001B0559">
              <w:rPr>
                <w:rFonts w:ascii="Times New Roman" w:eastAsia="Times New Roman" w:hAnsi="Times New Roman" w:cs="Times New Roman"/>
                <w:color w:val="4A4A4A"/>
                <w:sz w:val="24"/>
                <w:szCs w:val="24"/>
                <w:lang w:val="uk-UA" w:eastAsia="ru-RU"/>
              </w:rPr>
              <w:br/>
              <w:t>го закордонного  досвіду у вирішенні проблемних питань розвитку ОСН та ОСББ</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Розроблення та проведення навчально-методичних тренінгів, семінарів, ділових ігор, круглих столів тощо, спрямованих на підвищення професіоналізму представників ОСН та ОСББ </w:t>
            </w:r>
            <w:r w:rsidRPr="001B0559">
              <w:rPr>
                <w:rFonts w:ascii="Times New Roman" w:eastAsia="Times New Roman" w:hAnsi="Times New Roman" w:cs="Times New Roman"/>
                <w:color w:val="4A4A4A"/>
                <w:sz w:val="24"/>
                <w:szCs w:val="24"/>
                <w:lang w:val="uk-UA" w:eastAsia="ru-RU"/>
              </w:rPr>
              <w:br/>
              <w:t>та впровадження успішного досвіду розвитку територій</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 представники ОСН та ОСББ,</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САРГ,</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Громадська рада</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Гранти донорскіх</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організацій,</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18,0</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2,0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4,0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4,0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4,0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2017  рік – 4,0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Підвищення професіоналізму представників ОСН, ОСББ  та впровадження ефективних моделей розвитку територій</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rPr>
          <w:trHeight w:val="2445"/>
        </w:trPr>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Науково-методичне забезпечення діяльності ОСН та ОСББ міста з метою організації ефективної </w:t>
            </w:r>
            <w:r w:rsidRPr="001B0559">
              <w:rPr>
                <w:rFonts w:ascii="Times New Roman" w:eastAsia="Times New Roman" w:hAnsi="Times New Roman" w:cs="Times New Roman"/>
                <w:color w:val="4A4A4A"/>
                <w:sz w:val="24"/>
                <w:szCs w:val="24"/>
                <w:lang w:val="uk-UA" w:eastAsia="ru-RU"/>
              </w:rPr>
              <w:br/>
              <w:t>роботи та розвитку </w:t>
            </w:r>
            <w:r w:rsidRPr="001B0559">
              <w:rPr>
                <w:rFonts w:ascii="Times New Roman" w:eastAsia="Times New Roman" w:hAnsi="Times New Roman" w:cs="Times New Roman"/>
                <w:color w:val="4A4A4A"/>
                <w:sz w:val="24"/>
                <w:szCs w:val="24"/>
                <w:lang w:val="uk-UA" w:eastAsia="ru-RU"/>
              </w:rPr>
              <w:br/>
              <w:t>територій (у т.ч. створення методичних посібників, розробка необхідних положень та інших нормативних актів)</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 представники ОСН та ОСББ,</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САРГ</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 залучені кошти міжнародних донорів</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10,0</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2,0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2,0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2,0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2,0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2017  рік – 2,0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Створення системи науково-методичної допомоги ОСН та ОСББ</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Урахування в міському бюджеті видатків на виконання ОСН делегованих повноважень</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Міська рада</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74,0</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8,0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12,0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16,0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18,0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2017  рік – 20,0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Повноцінне функціонування органів самоорганізації населен-</w:t>
            </w:r>
            <w:r w:rsidRPr="001B0559">
              <w:rPr>
                <w:rFonts w:ascii="Times New Roman" w:eastAsia="Times New Roman" w:hAnsi="Times New Roman" w:cs="Times New Roman"/>
                <w:color w:val="4A4A4A"/>
                <w:sz w:val="24"/>
                <w:szCs w:val="24"/>
                <w:lang w:val="uk-UA" w:eastAsia="ru-RU"/>
              </w:rPr>
              <w:br/>
              <w:t>ня</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Урахування в міському бюджеті коштів на співфінансування першого капітального ремонту житлових будинків ОСББ</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Міська рада</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11500,0</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500,0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1000,0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2000,0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3000,0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2017  рік – 5000,0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Співфінансування</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проведення капітальних ремонтів житлових</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будинків, підвищення</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енергоефективності</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xml:space="preserve">будівель, </w:t>
            </w:r>
            <w:r w:rsidRPr="001B0559">
              <w:rPr>
                <w:rFonts w:ascii="Times New Roman" w:eastAsia="Times New Roman" w:hAnsi="Times New Roman" w:cs="Times New Roman"/>
                <w:color w:val="4A4A4A"/>
                <w:sz w:val="24"/>
                <w:szCs w:val="24"/>
                <w:lang w:val="uk-UA" w:eastAsia="ru-RU"/>
              </w:rPr>
              <w:lastRenderedPageBreak/>
              <w:t>встановлення</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засобів обліку</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Урахування в міському бюджеті коштів на відновлення проектно-технічної документації житлового фонду</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Міська рада</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3400,0</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100,0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400,0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500,0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1200,0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2017  рік – 1200,0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Виготовлення</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техн. паспортів,</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оформлення проектів землеустрою житлових будинків</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56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3</w:t>
            </w:r>
          </w:p>
        </w:tc>
        <w:tc>
          <w:tcPr>
            <w:tcW w:w="1700"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Розвиток механізму взаємодії ОСН та ОСББ між собою, з органом місцевого самоврядування та іншими юридичними особами</w:t>
            </w: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Проведення регулярних робочих зустрічей та </w:t>
            </w:r>
            <w:r w:rsidRPr="001B0559">
              <w:rPr>
                <w:rFonts w:ascii="Times New Roman" w:eastAsia="Times New Roman" w:hAnsi="Times New Roman" w:cs="Times New Roman"/>
                <w:color w:val="4A4A4A"/>
                <w:sz w:val="24"/>
                <w:szCs w:val="24"/>
                <w:lang w:val="uk-UA" w:eastAsia="ru-RU"/>
              </w:rPr>
              <w:br/>
              <w:t>спільних робочих нарад керівництва міської ради, керівництва структурних підрозділів виконавчого комітету міської ради, які беруть участь у реалізації Програми із керівниками та активістами ОСН та ОСББ</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відділ по роботі з ЗМІ, представники ОСН та ОСББ,</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САРГ,</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Громадська рада</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Створення органів ОСН </w:t>
            </w:r>
            <w:r w:rsidRPr="001B0559">
              <w:rPr>
                <w:rFonts w:ascii="Times New Roman" w:eastAsia="Times New Roman" w:hAnsi="Times New Roman" w:cs="Times New Roman"/>
                <w:color w:val="4A4A4A"/>
                <w:sz w:val="24"/>
                <w:szCs w:val="24"/>
                <w:lang w:val="uk-UA" w:eastAsia="ru-RU"/>
              </w:rPr>
              <w:br/>
              <w:t>та ОСББ в місті</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56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4.</w:t>
            </w:r>
          </w:p>
        </w:tc>
        <w:tc>
          <w:tcPr>
            <w:tcW w:w="1700"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Сприяння</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реалізації</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пілотних та</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спільних проек-</w:t>
            </w:r>
            <w:r w:rsidRPr="001B0559">
              <w:rPr>
                <w:rFonts w:ascii="Times New Roman" w:eastAsia="Times New Roman" w:hAnsi="Times New Roman" w:cs="Times New Roman"/>
                <w:color w:val="4A4A4A"/>
                <w:sz w:val="24"/>
                <w:szCs w:val="24"/>
                <w:lang w:val="uk-UA" w:eastAsia="ru-RU"/>
              </w:rPr>
              <w:br/>
              <w:t>тів ОСН та ОСББ</w:t>
            </w: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Здійснення співфінансування ОСББ – переможців</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конкурсів, учасників</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спільних проектів (програм) державних, міжнародних, громадських організацій (фондів), спрямованих на розвиток громадянського суспільства</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ОСББ,</w:t>
            </w:r>
          </w:p>
          <w:p w:rsidR="001B0559" w:rsidRPr="001B0559" w:rsidRDefault="001B0559" w:rsidP="001B0559">
            <w:pPr>
              <w:spacing w:after="180" w:line="360" w:lineRule="atLeast"/>
              <w:ind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Управління ЖКГ</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1150,0,</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50,0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100,0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200,0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300,0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2017  рік – 500,0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Упровадження інноваційного підходу</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до вирішення питань розвитку території</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з боку ОСББ</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567"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5</w:t>
            </w:r>
          </w:p>
        </w:tc>
        <w:tc>
          <w:tcPr>
            <w:tcW w:w="1700"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Інформаційно-методичне забезпечення діяльності ОСН </w:t>
            </w:r>
            <w:r w:rsidRPr="001B0559">
              <w:rPr>
                <w:rFonts w:ascii="Times New Roman" w:eastAsia="Times New Roman" w:hAnsi="Times New Roman" w:cs="Times New Roman"/>
                <w:color w:val="4A4A4A"/>
                <w:sz w:val="24"/>
                <w:szCs w:val="24"/>
                <w:lang w:val="uk-UA" w:eastAsia="ru-RU"/>
              </w:rPr>
              <w:br/>
              <w:t>та ОСББ</w:t>
            </w:r>
          </w:p>
        </w:tc>
        <w:tc>
          <w:tcPr>
            <w:tcW w:w="3118"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Сприяння розміщенню на офіційному сайті міської</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ради інформації стосовно</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діяльності ОСН та ОСББ</w:t>
            </w:r>
          </w:p>
        </w:tc>
        <w:tc>
          <w:tcPr>
            <w:tcW w:w="1276"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відділ по роботі з ЗМІ, представники ОСН та ОСББ.</w:t>
            </w:r>
          </w:p>
        </w:tc>
        <w:tc>
          <w:tcPr>
            <w:tcW w:w="1557"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Поширення позитивного досвіду у вирішенні проблемних питань розвитку ОСН та ОСББ</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xml:space="preserve">Регулярне проведення конференцій представників ОСН та ОСББ за участю представників міської </w:t>
            </w:r>
            <w:r w:rsidRPr="001B0559">
              <w:rPr>
                <w:rFonts w:ascii="Times New Roman" w:eastAsia="Times New Roman" w:hAnsi="Times New Roman" w:cs="Times New Roman"/>
                <w:color w:val="4A4A4A"/>
                <w:sz w:val="24"/>
                <w:szCs w:val="24"/>
                <w:lang w:val="uk-UA" w:eastAsia="ru-RU"/>
              </w:rPr>
              <w:lastRenderedPageBreak/>
              <w:t>ради з актуальних проблем самоорганізації населення.</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 представники ОСН та ОСББ</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Поширення позитивного досвіду у вирішенні проблемних питань розвитку ОСН та ОСББ</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567"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6</w:t>
            </w:r>
          </w:p>
        </w:tc>
        <w:tc>
          <w:tcPr>
            <w:tcW w:w="1700"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Формування механізму ефективної діяльності ОСН </w:t>
            </w:r>
            <w:r w:rsidRPr="001B0559">
              <w:rPr>
                <w:rFonts w:ascii="Times New Roman" w:eastAsia="Times New Roman" w:hAnsi="Times New Roman" w:cs="Times New Roman"/>
                <w:color w:val="4A4A4A"/>
                <w:sz w:val="24"/>
                <w:szCs w:val="24"/>
                <w:lang w:val="uk-UA" w:eastAsia="ru-RU"/>
              </w:rPr>
              <w:br/>
              <w:t>та ОСББ у сфері соціально-економічного розвитку локальних територій</w:t>
            </w:r>
          </w:p>
        </w:tc>
        <w:tc>
          <w:tcPr>
            <w:tcW w:w="3118"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Проведення роботи з населенням щодо своєчасно-</w:t>
            </w:r>
            <w:r w:rsidRPr="001B0559">
              <w:rPr>
                <w:rFonts w:ascii="Times New Roman" w:eastAsia="Times New Roman" w:hAnsi="Times New Roman" w:cs="Times New Roman"/>
                <w:color w:val="4A4A4A"/>
                <w:sz w:val="24"/>
                <w:szCs w:val="24"/>
                <w:lang w:val="uk-UA" w:eastAsia="ru-RU"/>
              </w:rPr>
              <w:br/>
              <w:t>сті здійснення оплати за отримані житлово-комуналь-</w:t>
            </w:r>
            <w:r w:rsidRPr="001B0559">
              <w:rPr>
                <w:rFonts w:ascii="Times New Roman" w:eastAsia="Times New Roman" w:hAnsi="Times New Roman" w:cs="Times New Roman"/>
                <w:color w:val="4A4A4A"/>
                <w:sz w:val="24"/>
                <w:szCs w:val="24"/>
                <w:lang w:val="uk-UA" w:eastAsia="ru-RU"/>
              </w:rPr>
              <w:br/>
              <w:t>ні послуги</w:t>
            </w:r>
          </w:p>
        </w:tc>
        <w:tc>
          <w:tcPr>
            <w:tcW w:w="1276"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представники ОСН та ОСББ,</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w:t>
            </w:r>
          </w:p>
        </w:tc>
        <w:tc>
          <w:tcPr>
            <w:tcW w:w="1557"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1982"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Не потребує фінансування</w:t>
            </w:r>
          </w:p>
        </w:tc>
        <w:tc>
          <w:tcPr>
            <w:tcW w:w="2696" w:type="dxa"/>
            <w:vMerge w:val="restart"/>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Сприяння забезпеченню своєчасності здійснення оплати за отримані житлово-комунальні послуги</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Проведення міського</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конкурсу благоустрою та енергоефективності серед будинків, дворів, вулиць на умовах співфінансування, проведення з цією метою циклу семінарів-тренінгів з представниками ОСН та </w:t>
            </w:r>
            <w:r w:rsidRPr="001B0559">
              <w:rPr>
                <w:rFonts w:ascii="Times New Roman" w:eastAsia="Times New Roman" w:hAnsi="Times New Roman" w:cs="Times New Roman"/>
                <w:color w:val="4A4A4A"/>
                <w:sz w:val="24"/>
                <w:szCs w:val="24"/>
                <w:lang w:val="uk-UA" w:eastAsia="ru-RU"/>
              </w:rPr>
              <w:br/>
              <w:t xml:space="preserve">ОСББ, бажаючими брати участь </w:t>
            </w:r>
            <w:r w:rsidRPr="001B0559">
              <w:rPr>
                <w:rFonts w:ascii="Times New Roman" w:eastAsia="Times New Roman" w:hAnsi="Times New Roman" w:cs="Times New Roman"/>
                <w:color w:val="4A4A4A"/>
                <w:sz w:val="24"/>
                <w:szCs w:val="24"/>
                <w:lang w:val="uk-UA" w:eastAsia="ru-RU"/>
              </w:rPr>
              <w:lastRenderedPageBreak/>
              <w:t>у таких конкурсах</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lastRenderedPageBreak/>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Управління ЖКГ,</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представники ОСН та ОСББ,</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САРГ</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000000"/>
                <w:sz w:val="24"/>
                <w:szCs w:val="24"/>
                <w:lang w:val="uk-UA" w:eastAsia="ru-RU"/>
              </w:rPr>
              <w:t>550,0</w:t>
            </w:r>
            <w:r w:rsidRPr="001B0559">
              <w:rPr>
                <w:rFonts w:ascii="Times New Roman" w:eastAsia="Times New Roman" w:hAnsi="Times New Roman" w:cs="Times New Roman"/>
                <w:color w:val="993300"/>
                <w:sz w:val="24"/>
                <w:szCs w:val="24"/>
                <w:lang w:val="uk-UA" w:eastAsia="ru-RU"/>
              </w:rPr>
              <w:t>,</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50,0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100,0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100,0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150,0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2017  рік – 150,0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Участь мешканців міста</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в розробленні та впровадженні системи комплексного підходу</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до розвитку території, поліпшенні екологічного стану, збереженню традицій місцевої</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громади</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r w:rsidR="001B0559" w:rsidRPr="001B0559" w:rsidTr="001B0559">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0" w:type="auto"/>
            <w:vMerge/>
            <w:tcBorders>
              <w:top w:val="nil"/>
              <w:left w:val="single" w:sz="8" w:space="0" w:color="000000"/>
              <w:bottom w:val="single" w:sz="8" w:space="0" w:color="000000"/>
              <w:right w:val="nil"/>
            </w:tcBorders>
            <w:shd w:val="clear" w:color="auto" w:fill="FFFFFF"/>
            <w:vAlign w:val="center"/>
            <w:hideMark/>
          </w:tcPr>
          <w:p w:rsidR="001B0559" w:rsidRPr="001B0559" w:rsidRDefault="001B0559" w:rsidP="001B0559">
            <w:pPr>
              <w:rPr>
                <w:rFonts w:ascii="Times New Roman" w:eastAsia="Times New Roman" w:hAnsi="Times New Roman" w:cs="Times New Roman"/>
                <w:color w:val="4A4A4A"/>
                <w:sz w:val="24"/>
                <w:szCs w:val="24"/>
                <w:lang w:eastAsia="ru-RU"/>
              </w:rPr>
            </w:pPr>
          </w:p>
        </w:tc>
        <w:tc>
          <w:tcPr>
            <w:tcW w:w="311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Запровадження програми „Цивілізований під’їзд”</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(на конкурсних засадах)</w:t>
            </w:r>
          </w:p>
        </w:tc>
        <w:tc>
          <w:tcPr>
            <w:tcW w:w="127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 2017 роки</w:t>
            </w:r>
          </w:p>
        </w:tc>
        <w:tc>
          <w:tcPr>
            <w:tcW w:w="2408"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Управління ЖКГ, представники ОСН та ОСББ.</w:t>
            </w:r>
          </w:p>
        </w:tc>
        <w:tc>
          <w:tcPr>
            <w:tcW w:w="1557"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Місцевий бюджет</w:t>
            </w:r>
          </w:p>
        </w:tc>
        <w:tc>
          <w:tcPr>
            <w:tcW w:w="1982"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000000"/>
                <w:sz w:val="24"/>
                <w:szCs w:val="24"/>
                <w:lang w:val="uk-UA" w:eastAsia="ru-RU"/>
              </w:rPr>
              <w:t>180,0</w:t>
            </w:r>
            <w:r w:rsidRPr="001B0559">
              <w:rPr>
                <w:rFonts w:ascii="Times New Roman" w:eastAsia="Times New Roman" w:hAnsi="Times New Roman" w:cs="Times New Roman"/>
                <w:color w:val="4A4A4A"/>
                <w:sz w:val="24"/>
                <w:szCs w:val="24"/>
                <w:lang w:val="uk-UA" w:eastAsia="ru-RU"/>
              </w:rPr>
              <w:t>, у т.ч.:</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2013 рік – 30,0</w:t>
            </w:r>
          </w:p>
          <w:p w:rsidR="001B0559" w:rsidRPr="001B0559" w:rsidRDefault="001B0559" w:rsidP="001B0559">
            <w:pPr>
              <w:shd w:val="clear" w:color="auto" w:fill="FFFFFF"/>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2014 рік – 50,0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2015 рік – 50,0</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2016  рік – 50,0</w:t>
            </w:r>
          </w:p>
        </w:tc>
        <w:tc>
          <w:tcPr>
            <w:tcW w:w="2696" w:type="dxa"/>
            <w:tcBorders>
              <w:top w:val="nil"/>
              <w:left w:val="single" w:sz="8" w:space="0" w:color="000000"/>
              <w:bottom w:val="single" w:sz="8" w:space="0" w:color="000000"/>
              <w:right w:val="nil"/>
            </w:tcBorders>
            <w:shd w:val="clear" w:color="auto" w:fill="FFFFFF"/>
            <w:hideMark/>
          </w:tcPr>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Поширення позитивного досвіду діяльності ОСН</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та ОСББ</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p w:rsidR="001B0559" w:rsidRPr="001B0559" w:rsidRDefault="001B0559" w:rsidP="001B0559">
            <w:pPr>
              <w:shd w:val="clear" w:color="auto" w:fill="FFFFFF"/>
              <w:spacing w:line="278"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c>
          <w:tcPr>
            <w:tcW w:w="25"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bl>
    <w:p w:rsidR="001B0559" w:rsidRPr="001B0559" w:rsidRDefault="001B0559" w:rsidP="001B0559">
      <w:pPr>
        <w:shd w:val="clear" w:color="auto" w:fill="FFFFFF"/>
        <w:spacing w:after="180" w:line="360" w:lineRule="atLeast"/>
        <w:ind w:left="57"/>
        <w:rPr>
          <w:rFonts w:ascii="Tahoma" w:eastAsia="Times New Roman" w:hAnsi="Tahoma" w:cs="Tahoma"/>
          <w:color w:val="4A4A4A"/>
          <w:sz w:val="11"/>
          <w:szCs w:val="11"/>
          <w:lang w:eastAsia="ru-RU"/>
        </w:rPr>
      </w:pPr>
      <w:r w:rsidRPr="001B0559">
        <w:rPr>
          <w:rFonts w:ascii="Tahoma" w:eastAsia="Times New Roman" w:hAnsi="Tahoma" w:cs="Tahoma"/>
          <w:color w:val="4A4A4A"/>
          <w:sz w:val="24"/>
          <w:szCs w:val="24"/>
          <w:lang w:val="uk-UA" w:eastAsia="ru-RU"/>
        </w:rPr>
        <w:t> </w:t>
      </w:r>
    </w:p>
    <w:tbl>
      <w:tblPr>
        <w:tblW w:w="0" w:type="auto"/>
        <w:tblInd w:w="5" w:type="dxa"/>
        <w:shd w:val="clear" w:color="auto" w:fill="FFFFFF"/>
        <w:tblCellMar>
          <w:left w:w="0" w:type="dxa"/>
          <w:right w:w="0" w:type="dxa"/>
        </w:tblCellMar>
        <w:tblLook w:val="04A0"/>
      </w:tblPr>
      <w:tblGrid>
        <w:gridCol w:w="4367"/>
        <w:gridCol w:w="4866"/>
        <w:gridCol w:w="127"/>
      </w:tblGrid>
      <w:tr w:rsidR="001B0559" w:rsidRPr="001B0559" w:rsidTr="001B0559">
        <w:tc>
          <w:tcPr>
            <w:tcW w:w="7169" w:type="dxa"/>
            <w:tcBorders>
              <w:top w:val="single" w:sz="8" w:space="0" w:color="000000"/>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Орієнтовний загальний обсяг фінансових ресурсів, необхідних для реалізації Програми, усього,</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у тому числі:</w:t>
            </w:r>
          </w:p>
        </w:tc>
        <w:tc>
          <w:tcPr>
            <w:tcW w:w="7715" w:type="dxa"/>
            <w:tcBorders>
              <w:top w:val="single" w:sz="8" w:space="0" w:color="000000"/>
              <w:left w:val="single" w:sz="8" w:space="0" w:color="000000"/>
              <w:bottom w:val="single" w:sz="8" w:space="0" w:color="000000"/>
              <w:right w:val="nil"/>
            </w:tcBorders>
            <w:shd w:val="clear" w:color="auto" w:fill="FFFFFF"/>
            <w:hideMark/>
          </w:tcPr>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b/>
                <w:bCs/>
                <w:color w:val="4A4A4A"/>
                <w:sz w:val="24"/>
                <w:szCs w:val="24"/>
                <w:lang w:val="uk-UA" w:eastAsia="ru-RU"/>
              </w:rPr>
              <w:t>16900,0</w:t>
            </w:r>
            <w:r w:rsidRPr="001B0559">
              <w:rPr>
                <w:rFonts w:ascii="Times New Roman" w:eastAsia="Times New Roman" w:hAnsi="Times New Roman" w:cs="Times New Roman"/>
                <w:color w:val="4A4A4A"/>
                <w:sz w:val="24"/>
                <w:szCs w:val="24"/>
                <w:lang w:val="uk-UA" w:eastAsia="ru-RU"/>
              </w:rPr>
              <w:t> тис. грн</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коштів міського бюджету та коштів, залучених співвиконавцями</w:t>
            </w:r>
          </w:p>
          <w:p w:rsidR="001B0559" w:rsidRPr="001B0559" w:rsidRDefault="001B0559" w:rsidP="001B0559">
            <w:pPr>
              <w:spacing w:line="360" w:lineRule="atLeast"/>
              <w:ind w:left="57" w:right="-180"/>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Програми відповідно до чинного законодавства</w:t>
            </w:r>
          </w:p>
        </w:tc>
        <w:tc>
          <w:tcPr>
            <w:tcW w:w="82" w:type="dxa"/>
            <w:tcBorders>
              <w:top w:val="nil"/>
              <w:left w:val="single" w:sz="8" w:space="0" w:color="000000"/>
              <w:bottom w:val="nil"/>
              <w:right w:val="nil"/>
            </w:tcBorders>
            <w:shd w:val="clear" w:color="auto" w:fill="FFFFFF"/>
            <w:hideMark/>
          </w:tcPr>
          <w:p w:rsidR="001B0559" w:rsidRPr="001B0559" w:rsidRDefault="001B0559" w:rsidP="001B0559">
            <w:pPr>
              <w:spacing w:after="180" w:line="360" w:lineRule="atLeast"/>
              <w:ind w:left="57"/>
              <w:rPr>
                <w:rFonts w:ascii="Times New Roman" w:eastAsia="Times New Roman" w:hAnsi="Times New Roman" w:cs="Times New Roman"/>
                <w:color w:val="4A4A4A"/>
                <w:sz w:val="24"/>
                <w:szCs w:val="24"/>
                <w:lang w:eastAsia="ru-RU"/>
              </w:rPr>
            </w:pPr>
            <w:r w:rsidRPr="001B0559">
              <w:rPr>
                <w:rFonts w:ascii="Times New Roman" w:eastAsia="Times New Roman" w:hAnsi="Times New Roman" w:cs="Times New Roman"/>
                <w:color w:val="4A4A4A"/>
                <w:sz w:val="24"/>
                <w:szCs w:val="24"/>
                <w:lang w:val="uk-UA" w:eastAsia="ru-RU"/>
              </w:rPr>
              <w:t> </w:t>
            </w:r>
          </w:p>
        </w:tc>
      </w:tr>
    </w:tbl>
    <w:p w:rsidR="001B0559" w:rsidRPr="001B0559" w:rsidRDefault="001B0559" w:rsidP="001B0559">
      <w:pPr>
        <w:shd w:val="clear" w:color="auto" w:fill="FFFFFF"/>
        <w:spacing w:after="180" w:line="360" w:lineRule="atLeast"/>
        <w:ind w:left="57"/>
        <w:rPr>
          <w:rFonts w:ascii="Tahoma" w:eastAsia="Times New Roman" w:hAnsi="Tahoma" w:cs="Tahoma"/>
          <w:color w:val="4A4A4A"/>
          <w:sz w:val="11"/>
          <w:szCs w:val="11"/>
          <w:lang w:eastAsia="ru-RU"/>
        </w:rPr>
      </w:pPr>
      <w:r w:rsidRPr="001B0559">
        <w:rPr>
          <w:rFonts w:ascii="Tahoma" w:eastAsia="Times New Roman" w:hAnsi="Tahoma" w:cs="Tahoma"/>
          <w:color w:val="4A4A4A"/>
          <w:sz w:val="24"/>
          <w:szCs w:val="24"/>
          <w:lang w:val="uk-UA" w:eastAsia="ru-RU"/>
        </w:rPr>
        <w:t> </w:t>
      </w:r>
    </w:p>
    <w:p w:rsidR="001B0559" w:rsidRPr="001B0559" w:rsidRDefault="001B0559" w:rsidP="001B0559">
      <w:pPr>
        <w:shd w:val="clear" w:color="auto" w:fill="FFFFFF"/>
        <w:spacing w:after="180" w:line="360" w:lineRule="atLeast"/>
        <w:ind w:left="57"/>
        <w:rPr>
          <w:rFonts w:ascii="Tahoma" w:eastAsia="Times New Roman" w:hAnsi="Tahoma" w:cs="Tahoma"/>
          <w:color w:val="4A4A4A"/>
          <w:sz w:val="11"/>
          <w:szCs w:val="11"/>
          <w:lang w:eastAsia="ru-RU"/>
        </w:rPr>
      </w:pPr>
      <w:r w:rsidRPr="001B0559">
        <w:rPr>
          <w:rFonts w:ascii="Tahoma" w:eastAsia="Times New Roman" w:hAnsi="Tahoma" w:cs="Tahoma"/>
          <w:color w:val="4A4A4A"/>
          <w:sz w:val="24"/>
          <w:szCs w:val="24"/>
          <w:lang w:val="uk-UA" w:eastAsia="ru-RU"/>
        </w:rPr>
        <w:t> </w:t>
      </w:r>
    </w:p>
    <w:p w:rsidR="001B0559" w:rsidRPr="001B0559" w:rsidRDefault="001B0559" w:rsidP="001B0559">
      <w:pPr>
        <w:shd w:val="clear" w:color="auto" w:fill="FFFFFF"/>
        <w:spacing w:after="180" w:line="360" w:lineRule="atLeast"/>
        <w:ind w:left="57"/>
        <w:rPr>
          <w:rFonts w:ascii="Tahoma" w:eastAsia="Times New Roman" w:hAnsi="Tahoma" w:cs="Tahoma"/>
          <w:color w:val="4A4A4A"/>
          <w:sz w:val="11"/>
          <w:szCs w:val="11"/>
          <w:lang w:eastAsia="ru-RU"/>
        </w:rPr>
      </w:pPr>
      <w:r w:rsidRPr="001B0559">
        <w:rPr>
          <w:rFonts w:ascii="Tahoma" w:eastAsia="Times New Roman" w:hAnsi="Tahoma" w:cs="Tahoma"/>
          <w:color w:val="4A4A4A"/>
          <w:sz w:val="24"/>
          <w:szCs w:val="24"/>
          <w:lang w:val="uk-UA" w:eastAsia="ru-RU"/>
        </w:rPr>
        <w:t> </w:t>
      </w:r>
    </w:p>
    <w:p w:rsidR="001B0559" w:rsidRPr="001B0559" w:rsidRDefault="001B0559" w:rsidP="001B0559">
      <w:pPr>
        <w:shd w:val="clear" w:color="auto" w:fill="FFFFFF"/>
        <w:spacing w:after="180" w:line="360" w:lineRule="atLeast"/>
        <w:ind w:left="57"/>
        <w:rPr>
          <w:rFonts w:ascii="Tahoma" w:eastAsia="Times New Roman" w:hAnsi="Tahoma" w:cs="Tahoma"/>
          <w:color w:val="4A4A4A"/>
          <w:sz w:val="11"/>
          <w:szCs w:val="11"/>
          <w:lang w:eastAsia="ru-RU"/>
        </w:rPr>
      </w:pPr>
      <w:r w:rsidRPr="001B0559">
        <w:rPr>
          <w:rFonts w:ascii="Tahoma" w:eastAsia="Times New Roman" w:hAnsi="Tahoma" w:cs="Tahoma"/>
          <w:b/>
          <w:bCs/>
          <w:color w:val="4A4A4A"/>
          <w:sz w:val="24"/>
          <w:szCs w:val="24"/>
          <w:lang w:val="uk-UA" w:eastAsia="ru-RU"/>
        </w:rPr>
        <w:t>Секретар міськради    </w:t>
      </w:r>
      <w:r w:rsidRPr="001B0559">
        <w:rPr>
          <w:rFonts w:ascii="Tahoma" w:eastAsia="Times New Roman" w:hAnsi="Tahoma" w:cs="Tahoma"/>
          <w:color w:val="4A4A4A"/>
          <w:sz w:val="24"/>
          <w:szCs w:val="24"/>
          <w:lang w:val="uk-UA" w:eastAsia="ru-RU"/>
        </w:rPr>
        <w:t>          </w:t>
      </w:r>
      <w:r w:rsidRPr="001B0559">
        <w:rPr>
          <w:rFonts w:ascii="Tahoma" w:eastAsia="Times New Roman" w:hAnsi="Tahoma" w:cs="Tahoma"/>
          <w:b/>
          <w:bCs/>
          <w:color w:val="4A4A4A"/>
          <w:sz w:val="24"/>
          <w:szCs w:val="24"/>
          <w:lang w:val="uk-UA" w:eastAsia="ru-RU"/>
        </w:rPr>
        <w:t>А.А. Гавриленко</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1B0559"/>
    <w:rsid w:val="000929C8"/>
    <w:rsid w:val="001B0559"/>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B0559"/>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0559"/>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B0559"/>
  </w:style>
  <w:style w:type="paragraph" w:styleId="a3">
    <w:name w:val="Normal (Web)"/>
    <w:basedOn w:val="a"/>
    <w:uiPriority w:val="99"/>
    <w:semiHidden/>
    <w:unhideWhenUsed/>
    <w:rsid w:val="001B0559"/>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1B0559"/>
    <w:rPr>
      <w:i/>
      <w:iCs/>
    </w:rPr>
  </w:style>
  <w:style w:type="paragraph" w:customStyle="1" w:styleId="default">
    <w:name w:val="default"/>
    <w:basedOn w:val="a"/>
    <w:rsid w:val="001B0559"/>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1B0559"/>
    <w:rPr>
      <w:b/>
      <w:bCs/>
    </w:rPr>
  </w:style>
</w:styles>
</file>

<file path=word/webSettings.xml><?xml version="1.0" encoding="utf-8"?>
<w:webSettings xmlns:r="http://schemas.openxmlformats.org/officeDocument/2006/relationships" xmlns:w="http://schemas.openxmlformats.org/wordprocessingml/2006/main">
  <w:divs>
    <w:div w:id="56375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5312</Words>
  <Characters>30282</Characters>
  <Application>Microsoft Office Word</Application>
  <DocSecurity>0</DocSecurity>
  <Lines>252</Lines>
  <Paragraphs>71</Paragraphs>
  <ScaleCrop>false</ScaleCrop>
  <Company>Северодонецкие вести</Company>
  <LinksUpToDate>false</LinksUpToDate>
  <CharactersWithSpaces>35523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2016-07-11T07:32:00Z</dcterms:created>
  <dcterms:modified xsi:type="dcterms:W3CDTF">2016-07-11T07:32:00Z</dcterms:modified>
</cp:coreProperties>
</file>