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СЄВЄРОДОНЕЦЬКА МІСЬКА РАДА</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ШОСТОГО СКЛИКАННЯ</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Шістдесят третя (чергова) сесія</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РІШЕННЯ №2677</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30 ” травня 2013 року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м.Сєвєродонецьк</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tbl>
      <w:tblPr>
        <w:tblW w:w="0" w:type="auto"/>
        <w:tblCellSpacing w:w="0" w:type="dxa"/>
        <w:shd w:val="clear" w:color="auto" w:fill="FFFFFF"/>
        <w:tblCellMar>
          <w:left w:w="0" w:type="dxa"/>
          <w:right w:w="0" w:type="dxa"/>
        </w:tblCellMar>
        <w:tblLook w:val="04A0"/>
      </w:tblPr>
      <w:tblGrid>
        <w:gridCol w:w="4635"/>
      </w:tblGrid>
      <w:tr w:rsidR="005B262A" w:rsidRPr="005B262A" w:rsidTr="005B262A">
        <w:trPr>
          <w:tblCellSpacing w:w="0" w:type="dxa"/>
        </w:trPr>
        <w:tc>
          <w:tcPr>
            <w:tcW w:w="0" w:type="auto"/>
            <w:shd w:val="clear" w:color="auto" w:fill="FFFFFF"/>
            <w:vAlign w:val="center"/>
            <w:hideMark/>
          </w:tcPr>
          <w:p w:rsidR="005B262A" w:rsidRPr="005B262A" w:rsidRDefault="005B262A" w:rsidP="005B262A">
            <w:pPr>
              <w:spacing w:after="60"/>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Про затвердження Програми зайнятості</w:t>
            </w:r>
          </w:p>
          <w:p w:rsidR="005B262A" w:rsidRPr="005B262A" w:rsidRDefault="005B262A" w:rsidP="005B262A">
            <w:pPr>
              <w:spacing w:after="60"/>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 населення м.Сєвєродонецька на період</w:t>
            </w:r>
          </w:p>
          <w:p w:rsidR="005B262A" w:rsidRPr="005B262A" w:rsidRDefault="005B262A" w:rsidP="005B262A">
            <w:pPr>
              <w:spacing w:after="60"/>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 до 2017 року                                           </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tc>
      </w:tr>
    </w:tbl>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Керуючись ст.25, підпунктом 1 пункту "б" ст.34 Закону України «Про місцеве самоврядування в Україні» від 21.05.97 № 280, Наказом Міністерства соціальної політики України від 11.02.2013  № 50 “Про розроблення проектів територіальних (місцевих) програм зайнятості населення на період  до 2017 року”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85C73">
        <w:rPr>
          <w:rFonts w:ascii="Tahoma" w:eastAsia="Times New Roman" w:hAnsi="Tahoma" w:cs="Tahoma"/>
          <w:b/>
          <w:bCs/>
          <w:color w:val="4A4A4A"/>
          <w:lang w:eastAsia="ru-RU"/>
        </w:rPr>
        <w:t>ВИРІШИЛА:</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1. Затвердити "Програму зайнятості населення м.Сєвєродонецька на період до 2017 року" (Додаток).</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2. Рішення №1146 від 22.12.2011р. "Про затвердження Програми зайнятості населення м.Сєвєродонецька на 2012-2013 роки" вважати таким, що втратило чинність.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3. Дане рішення підлягає оприлюдненню.</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4. Контроль за виконанням даного рішення покласти на постійну комісію міської ради з питань охорони здоров’я та соціального захисту населення.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85C73">
        <w:rPr>
          <w:rFonts w:ascii="Tahoma" w:eastAsia="Times New Roman" w:hAnsi="Tahoma" w:cs="Tahoma"/>
          <w:b/>
          <w:bCs/>
          <w:color w:val="4A4A4A"/>
          <w:lang w:eastAsia="ru-RU"/>
        </w:rPr>
        <w:t>Міський голова                                                                                   В.В. Казаков</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 </w:t>
      </w:r>
    </w:p>
    <w:p w:rsidR="005B262A" w:rsidRPr="005B262A" w:rsidRDefault="005B262A" w:rsidP="005B262A">
      <w:pPr>
        <w:shd w:val="clear" w:color="auto" w:fill="FFFFFF"/>
        <w:spacing w:after="180" w:line="360" w:lineRule="atLeast"/>
        <w:jc w:val="right"/>
        <w:rPr>
          <w:rFonts w:ascii="Tahoma" w:eastAsia="Times New Roman" w:hAnsi="Tahoma" w:cs="Tahoma"/>
          <w:color w:val="4A4A4A"/>
          <w:lang w:eastAsia="ru-RU"/>
        </w:rPr>
      </w:pPr>
      <w:r w:rsidRPr="00585C73">
        <w:rPr>
          <w:rFonts w:ascii="Tahoma" w:eastAsia="Times New Roman" w:hAnsi="Tahoma" w:cs="Tahoma"/>
          <w:i/>
          <w:iCs/>
          <w:color w:val="4A4A4A"/>
          <w:lang w:eastAsia="ru-RU"/>
        </w:rPr>
        <w:t>Додаток</w:t>
      </w:r>
    </w:p>
    <w:p w:rsidR="005B262A" w:rsidRPr="005B262A" w:rsidRDefault="005B262A" w:rsidP="005B262A">
      <w:pPr>
        <w:shd w:val="clear" w:color="auto" w:fill="FFFFFF"/>
        <w:spacing w:after="180" w:line="360" w:lineRule="atLeast"/>
        <w:jc w:val="right"/>
        <w:rPr>
          <w:rFonts w:ascii="Tahoma" w:eastAsia="Times New Roman" w:hAnsi="Tahoma" w:cs="Tahoma"/>
          <w:color w:val="4A4A4A"/>
          <w:lang w:eastAsia="ru-RU"/>
        </w:rPr>
      </w:pPr>
      <w:r w:rsidRPr="00585C73">
        <w:rPr>
          <w:rFonts w:ascii="Tahoma" w:eastAsia="Times New Roman" w:hAnsi="Tahoma" w:cs="Tahoma"/>
          <w:i/>
          <w:iCs/>
          <w:color w:val="4A4A4A"/>
          <w:lang w:eastAsia="ru-RU"/>
        </w:rPr>
        <w:t>до рішення 63-ї сесії</w:t>
      </w:r>
    </w:p>
    <w:p w:rsidR="005B262A" w:rsidRPr="005B262A" w:rsidRDefault="005B262A" w:rsidP="005B262A">
      <w:pPr>
        <w:shd w:val="clear" w:color="auto" w:fill="FFFFFF"/>
        <w:spacing w:after="180" w:line="360" w:lineRule="atLeast"/>
        <w:jc w:val="right"/>
        <w:rPr>
          <w:rFonts w:ascii="Tahoma" w:eastAsia="Times New Roman" w:hAnsi="Tahoma" w:cs="Tahoma"/>
          <w:color w:val="4A4A4A"/>
          <w:lang w:eastAsia="ru-RU"/>
        </w:rPr>
      </w:pPr>
      <w:r w:rsidRPr="00585C73">
        <w:rPr>
          <w:rFonts w:ascii="Tahoma" w:eastAsia="Times New Roman" w:hAnsi="Tahoma" w:cs="Tahoma"/>
          <w:i/>
          <w:iCs/>
          <w:color w:val="4A4A4A"/>
          <w:lang w:eastAsia="ru-RU"/>
        </w:rPr>
        <w:t>VІ скликання</w:t>
      </w:r>
    </w:p>
    <w:p w:rsidR="005B262A" w:rsidRPr="005B262A" w:rsidRDefault="005B262A" w:rsidP="005B262A">
      <w:pPr>
        <w:shd w:val="clear" w:color="auto" w:fill="FFFFFF"/>
        <w:spacing w:after="180" w:line="360" w:lineRule="atLeast"/>
        <w:jc w:val="right"/>
        <w:rPr>
          <w:rFonts w:ascii="Tahoma" w:eastAsia="Times New Roman" w:hAnsi="Tahoma" w:cs="Tahoma"/>
          <w:color w:val="4A4A4A"/>
          <w:lang w:eastAsia="ru-RU"/>
        </w:rPr>
      </w:pPr>
      <w:r w:rsidRPr="00585C73">
        <w:rPr>
          <w:rFonts w:ascii="Tahoma" w:eastAsia="Times New Roman" w:hAnsi="Tahoma" w:cs="Tahoma"/>
          <w:i/>
          <w:iCs/>
          <w:color w:val="4A4A4A"/>
          <w:lang w:eastAsia="ru-RU"/>
        </w:rPr>
        <w:t>від 30.05.2013р. № 2677</w:t>
      </w:r>
    </w:p>
    <w:p w:rsidR="005B262A" w:rsidRPr="005B262A" w:rsidRDefault="005B262A" w:rsidP="005B262A">
      <w:pPr>
        <w:spacing w:after="60"/>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ПРОГРАМА</w:t>
      </w:r>
    </w:p>
    <w:p w:rsidR="005B262A" w:rsidRPr="005B262A" w:rsidRDefault="005B262A" w:rsidP="005B262A">
      <w:pPr>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 </w:t>
      </w:r>
    </w:p>
    <w:p w:rsidR="005B262A" w:rsidRPr="005B262A" w:rsidRDefault="005B262A" w:rsidP="005B262A">
      <w:pPr>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зайнятості  населення  м.Сєвєродонецька</w:t>
      </w:r>
    </w:p>
    <w:p w:rsidR="005B262A" w:rsidRPr="005B262A" w:rsidRDefault="005B262A" w:rsidP="005B262A">
      <w:pPr>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 </w:t>
      </w:r>
    </w:p>
    <w:p w:rsidR="005B262A" w:rsidRPr="005B262A" w:rsidRDefault="005B262A" w:rsidP="005B262A">
      <w:pPr>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на  період  до  2017 року</w:t>
      </w:r>
    </w:p>
    <w:p w:rsidR="005B262A" w:rsidRPr="005B262A" w:rsidRDefault="005B262A" w:rsidP="005B262A">
      <w:pPr>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ПАСПОРТ ПРОГРАМИ</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 </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 </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ПРОГРАМА ЗАЙНЯТОСТІ НАСЕЛЕННЯ</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м.СЄВЄРОДОНЕЦЬКА ДО 2017 РОКУ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Рішення щодо розробки Програми прийнято відповідно до статті 18  Закону України «Про зайнятість населення», на виконання рішення Ради Регіонів від 25 грудня 2012р., Наказу Міністерства соціальної політики України  від 11 лютого 2012р. №50 «Про розроблення  проектів територіальних (місцевих) програм зайнятості населення на період до 2017 року», розпорядження голови Сєвєродонецької міської ради від 2 квітня 2013 року №132 «Про створення робочої групи для розробки проекту міської Програми зайнятості населення на період  до 2017 року»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Відповідальні виконавці Програми:</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організаційне супроводження та координацію заходів Програми покладено на Управління праці та соціального захисту населення Сєвєродонецької міської ради,</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відділи Сєвєродонецької міської ради,</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міський центр зайнятості.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Строк виконання Програми заплановано до 2017 року.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Джерела фінансування Програми у частині надання соціальних послуг незайнятим громадянам, зареєстрованим у державній службі зайнятості, – кошти Фонду загальнообов’язкового державного соціального страхування на випадок безробіття.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Загальні положення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Мета Програми –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Основними завданнями Програми є:</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сприяння повній, продуктивній зайнятості та самозайнятості, спрямованій на підвищення рівня життя населення;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забезпечення регулювання та детінізації ринку праці, посилення соціального захисту безробітних громадян, зареєстрованих у державній службі зайнятості;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оцінка стану регіонального ринку праці та прогнозних параметрів економічної активності населення;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визначення основних напрямків політики зайнятості та механізмів їх реалізації;</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                                            координація діяльності місцевих органів виконавчої влади, пов’язаної з розробленням та виконанням заходів регулювання ринку праці;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проведення моніторингу показників ринку праці та здійснення інформаційного забезпечення з питань реалізації завдань і заходів Програми.</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Програма базується на прогнозних розрахунках стану соціально-економічного розвитку регіону та ринку праці. Необхідною умовою реалізації Програми є взаємозв’язок політики зайнятості та економічної політики держави, консолідація зусиль усіх гілок влади, об’єднань роботодавців і профспілок щодо сприяння вирішенню проблеми зайнятості населення.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Програма передбачає посилення відповідальності органів влади й соціальних партнерів за реалізацію політики зайнятості.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І. Основні підсумки виконання Програми зайнятості населення</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м. Сєвєродонецька за 2012 рік</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Головною метою діяльності міськради, її структурних підрозділів, підприємств і організацій міста в 2011 році є створення системи здійснення єдиної політики, спрямованої на стійкий розвиток економіки міста та забезпечення соціальними гарантіями усіх верств населення.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Станом на 01.01.2013 року чисельність населення міста склала 119,9 тис. осіб, що на 300 осіб менше, ніж було на початок 2012 року. Зменшення кількості наявного населення обумовлено природним скороченням населення. За 2012 рік на території міської ради народилося 1112 дітей, це складає 101,2% від кількості народжених минулого року. За цей же період зареєстровано померлих – 1672 особи, проти 1591 осіб у минулому році. Негативне сальдо природного скорочення за 2012 рік дорівнює 560 особам.</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Позитивним у 2012 році є міграційний приріст по м.Сєвєродонецьку даний показник склав 162 особи (прибуло 1744 особи, вибуло 1582). Цей факт свідчить про поліпшення ситуації в галузі праці — зміцнення економіки, оптимізація міжрегіонального перерозподілу громадян, поліпшення стану регіональних ринків праці, забезпечення населення робочими місцями, впровадження соціальних програм підвищення життєвого рівня та формування в суспільстві позитивного морального клімату у сфері зайнятості.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xml:space="preserve">У 2012р. надходження податків і зборів до міського бюджету (без трансфертів), отримані в обсязі 305,1 млн. грн., в т. ч. до загального фонду – 206,3 млн. грн., до спеціального – 98,8 млн. грн. У порівнянні з 2011р. обсяги надходжень збільшились на 154,0%, або на </w:t>
      </w:r>
      <w:r w:rsidRPr="005B262A">
        <w:rPr>
          <w:rFonts w:ascii="Tahoma" w:eastAsia="Times New Roman" w:hAnsi="Tahoma" w:cs="Tahoma"/>
          <w:color w:val="4A4A4A"/>
          <w:lang w:eastAsia="ru-RU"/>
        </w:rPr>
        <w:lastRenderedPageBreak/>
        <w:t>107,0 млн. грн. Трансферти до міського бюджету профінансовані у сумі 259,6 млн. грн., в т. ч. до загального фонду – 236,9 млн. грн., до спеціального – 22,6 млн. грн.</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Доходна частина місцевого бюджету (без урахування трансфертів) за 2012р. виконана на 107,8% при уточненому плані доходів 282,9 млн. грн., у тому числі загального фонду – на 101,4%, спеціального фонду – на 124,3%.</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Видатки міського бюджету у 2012р. становили 522,7 млн. грн., у тому числі загального фонду – 435,4 млн. грн., спеціального фонду – 87,3 млн. грн.</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 2012 рік промисловим комплексом міста було реалізовано промислової продукції (робіт, послуг) на суму 7847,2 млн. грн., що становить 9,7% від обсягів по області.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Обсяг реалізованої промислової продукції на одну особу за 2012р. склав 65448,1 грн. (в середньому по області 35735,4 грн.). Обсяг реалізованої продукції переробної промисловості склав 93,4% від загального обсягу реалізованої продукції, добувної промисловості – 0,8%, з виробництва та розподілу електроенергії, теплової енергії та води – 5,8%.</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 результатами роботи підприємств міста за 9 місяців 2012р. фінансовий результат по місту становить 1683,0 млн. збитків, що в 5,9 разів більше відповідного періоду минулого року. Збитковими є 56,5% підприємств міста, фінансовий результат яких становить 1750,7 млн. грн. збитків. Прибуток отримали 43,5% підприємств, загальна сума прибутку - 67,7 млн. грн. Питома вага прибуткових підприємств знизилась порівняно з 2011р. (прибутковими були 62,7% підприємств міста).</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 2012 рік у розвиток економіки міста за рахунок усіх джерел фінансування вкладено 519,6 млн. грн. капітальних інвестицій, що складає 6,6% від загального обсягу капітальних інвестицій по Луганській області.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 2012 році забудовниками міста введено в експлуатацію житлових будинків загальною площею 8086 м2, що на 14,8% менше рівня 2011р.</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Відділом капітального будівництва міської ради в 2012 році виконано та профінансовано робіт у сумі 26261,1 тис. грн., у т.ч. з державного бюджету – 4952,8 тис. грн., або 18,9%, а з місцевого бюджету - 21308,3 тис .грн., або 81,1% від загальної суми фінансування.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 2012 рік оборот зовнішньої торгівлі товарами у місті становив 1504,0 млн.дол. США. При цьому обсяги експорту товарів знизилися на 6,0%, а імпорту зросли в 2,2 рази порівняно з 2011р. і становили, відповідно 520,1 млн.дол. США та 983,9 млн.дол. США. Сальдо зовнішньої торгівлі товарами від’ємне і складає 463,8 млн.дол. США. Питома вага обсягів експорту міста складає 12,4%, а обсягів імпорту 28,3% від загального обласного обсягу.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За 2012р. зовнішньоторговельний оборот міста послугами склав 32,2 млн.дол. США, при цьому обсяги експорту послуг - 16,7 млн дол. США, імпорту – 15,5 млн.дол. США, у порівнянні з 2011р. експорт послуг зменшився на 25,4%, а імпорт збільшився на 16,0%. Сальдо зовнішньої торгівлі послугами позитивне і складає 1,2 тис.дол. США. У зовнішньоторговельному обороті послуг області на місто Сєвєродонецьк припадає 13,0% загального обсягу.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Сєвєродонецьк залишається привабливим інвестиційним майданчиком. Іноземні інвестиції вкладено у більш ніж 30 підприємств Сєвєродонецька. Залучення інвестицій в розвиток міста сприяє будівництву нових промислових потужностей зі створенням нових робочих місць, а також будівництво житла, торгівельних, культурно-розважальних та оздоровчих комплексів.</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 2012 рік в економіку міста іноземними інвесторами вкладено 1617,9 тис.дол. США прямих інвестицій, у порівнянні з початком року обсяг іноземних інвестицій збільшився на 0,8%.</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Станом на 1 січня 2013р. загальний обсяг прямих іноземних інвестицій в економіку міста за весь період інвестування (з моменту здійснення первинної операції з унесення капіталу) складає 193,025 млн.дол. США, в т.ч. з країн СНД внески склали 0,12 млн.дол. США, країн ЄС 191,99 млн.дол. США, з інших країн світу 0,915 млн.дол. США.</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Обсяг прямих іноземних інвестицій на одну особу за 2012 рік склав 1609,9 дол. США (в середньому по Луганській області 371,6 дол. США).</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Питома вага прямих іноземних інвестицій міста складає 25% від загального підсумку по області. Це 2-й результат серед міст і районів Луганської області.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Конкурентоспроможність вітчизняної продукції на світових ринках визначається темпами впровадження новітніх науково-технічних рішень та розвитком наукоємних виробництв, а використання інновацій у господарській діяльності стає запорукою стабільного економічного зростання.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 2012р. інноваційною діяльністю в місті займалося шість підприємств, що складає 15,8% від загальної кількості промислових підприємств. На чотирьох промислових підприємствах впроваджено дев’ять нових технологічних процесів, сім з яких є маловідходними та ресурсозберігаючими. Три підприємства освоїли шість нових видів продукції.</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Загальна кількість підприємств, які сертифікували власну систему якості на відповідність державному стандарту ISO 9001-2001 досягла чотирнадцяти, в 2012 році приєдналися ще два підприємства.</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Станом на 01.01.2013р. мале підприємництво міста представлене 5963 діючими суб’єктами підприємницької діяльності, що на 5% менш ніж у 2011 році, з них:</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  малих підприємств – 817 одиниць;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СПД – фізичних осіб (платники податків) – 5146 одиниць.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Відповідно даних відділу реєстрації юридичних осіб і фізичних осіб-підприємців міської ради за 2012 рік зареєстровано 408 юридичних та фізичних осіб, що на 29% менше ніж за 2011р. В тому числі юридичних осіб - 80 од., що на 11 одиниць або на 16% більше рівня 2011р., фізичних осіб - підприємців – 328, що на 180 одиниць або на 35% менше рівня 2011р. Кількість скасованих юридичних та фізичних осіб за 2012 рік складає 760 од., що на 345 одиниць або на 31% менше рівня 2011р. В тому числі юридичних осіб - 138 од., фізичних осіб - підприємців - 622.</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Станом на 01.01.2013р. у малому підприємництві зайнято 12273 особи:</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на підприємствах –4850;</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 СПД – фізичні особи (платники податків) – 5146;</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кількість працівників, найманих СПД – фізичними особами – 2277.</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Рівень середньої заробітної плати на малих підприємствах у 2012 році збільшився у порівнянні з рівнем 2011р. на 38,1% і склав 2452 грн.</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 рахунок суб’єктів малого бізнесу (малих підприємств та фізичних осіб-підприємців) за 2012 рік створено 1854 робочих місця, що на 2,1% більш ніж у 2011р. Збільшення цього показника пов’язане з відкриттям нових об’єктів торгівлі, таких як супермаркет «Велика кишеня».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Інфраструктура міських маршрутів представлена автобусами та тролейбусами. Кількість міських автобусних маршрутів загального користування – 9, кількість автобусів (згідно квоти) на міських автобусних маршрутах загального користування складає 107 од., кількість тролейбусів – 46 од.</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Довжина автомобільних доріг загальнодержавного і місцевого значення складає 144 км, довжина тролейбусних ліній – 54,5 км, протяжність тролейбусних маршрутів – 91,5 км.</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 місті розташовані 7 автомобільних мостів, один шляхопровід та 10 залізничних переїздів. Кількість легкових автомобілів у приватній власності на 1000 населення складає 108 од.</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Підприємствами автомобільного транспорту в 2012 році доставлено замовникам 72,8 тис. тонн вантажів, що на 55,6% менше, ніж за 2011р. Вантажооборот склав 26,7 млн.т. км і зменшився на 11,5% від рівня 2011р.</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Обсяг відправлених пасажирів склав 5473,6 тис. пасажирів, що на 39,3% менше, ніж за 2011р., пасажирооборот склав 68,8 млн. пас. км, що на 27,2% менше, ніж за 2011р. Зменшення обсягу відбулося у зв’язку із зменшенням 4-х одиниць маршрутних автобусів.</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Електротранспортом в 2012 році перевезено 29336,2 тис. пасажирів, що на 11,2% перевищує їх кількість у 2011р. Зростання пасажиропотоку на тролейбусних маршрутах відбулося за рахунок поповнення тролейбусного парку в минулому році комфортабельними тролейбусами нового типу АКСМ-321 (10 од.). В результаті чого, в збільшився середньодобовий випуск тролейбусів на 1 од., а доходи від перевезення платних пасажирів зросли на 25,7%. Рівень відшкодування доходами витрат на надання послуг з перевезення пасажирів склав 102,0%.</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Загальний обсяг стаціонарних телефонів в місті складає 38798 од., з них у населення - 34092 од. В 2012 році населенню міста встановлено телефонів – 554 од., з них пільговим категоріям громадян – 30.</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Забезпеченість населення домашнім телефонним зв’язком на 100 сімей - 35 од. Забезпеченість населення міжміськими таксофонами на 119,9 тис. населення – 10 од., кількість абонентів мережі Intermet на 1000 населення – 45.</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Загальний обсяг роздрібного товарообороту підприємств роздрібної торгівлі та ресторанного господарства м.Сєвєродонецька за 9 місяців 2012р. складав 809,6 млн.грн. Індекс фізичного обсягу роздрібного товарообороту до попереднього року – 160,6%. Роздрібний товарооборот у розрахунку на одну особу населення складав 6747,9 грн., що на 68,5% перевищує цей показник за аналогічний період 2011р.</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Обсяг товарообороту торгової мережі складав 792,4 млн.грн., або 97,9% від загального обсягу роздрібного товарообороту міста, обсяг товарообороту ресторанного господарства - 17,2 млн. грн., або 2,1% від загального обсягу.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Обсяг послуг (у ринкових цінах включаючи ПДВ), реалізованих споживачам підприємствами сфери послуг у 2012 році склав 452,1 млн.грн. та зріс на 9,5% від рівня 2011р. У тому числі обсяг послуг, реалізованих населенню склав 77,3 млн.грн., що складає 17,1% від загального обсягу реалізованих послуг. Обсяг реалізації послуг населенню зріс на 20,8% у порівнянні з 2011р.</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 економіці міста за 2012 рік  на  підприємствах  та  в  організаціях було зайнято 30089 штатних працівників, яким був нарахований фонд оплати праці в сумі 1196,5 млн.грн., або 98,5% від запланованої суми на 2012 рік.</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Середньомісячний розмір номінальної заробітної плати штатних працівників становив 3314 грн., що складає 107,2% до середнього рівня області. Протягом поточного року середньомісячна зарплата у місті зросла порівняно з початком року на 20,6% (рис. 6).</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xml:space="preserve">Середньомісячний розмір номінальної заробітної плати значно перевищує встановлені Законом України мінімальні державні соціальні гарантії для населення: у 2,9 рази – рівня </w:t>
      </w:r>
      <w:r w:rsidRPr="005B262A">
        <w:rPr>
          <w:rFonts w:ascii="Tahoma" w:eastAsia="Times New Roman" w:hAnsi="Tahoma" w:cs="Tahoma"/>
          <w:color w:val="4A4A4A"/>
          <w:lang w:eastAsia="ru-RU"/>
        </w:rPr>
        <w:lastRenderedPageBreak/>
        <w:t>мінімальної заробітної плати (1134 грн.) та у 2,9 рази рівня прожиткового мінімуму для працездатної особи (1134 грн.).</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Зростання середньомісячного розміру заробітної плати відповідно відобразилось на зростанні середньомісячного розміру пенсій у місті. За підсумками 2012 року розмір пенсії у місті становить 1462,84 грн., що складає 104,7% від її запланованого розміру (1397,00 грн.) та на 12,7% більше порівняно з рівнем 2011р.</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Заборгованість з виплати заробітної плати станом на 01.01.2013 року мають 18 підприємств в сумі 7,2 млн.грн. До складу підприємств, що мають заборгованість з виплати заробітної плати, входять економічно - активні підприємств - 3,4 млн. грн. (48% від загальної суми заборгованості, підприємства - банкрути – 3,6 млн. грн. (50%) та економічно - неактивні підприємства – 0,2 млн. грн. (2%). Порівняно з 2011р. заборгованість з виплати заробітної плати збільшилась на 6%.</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 2012 році поліпшення ситуації на ринку праці не відбувалося. Протягом року послугами Центру зайнятості скористалися 4687 осіб. Серед них: жінки – 58,2%, молодь – 51,8%, особи, які не здатні на рівних конкурувати на ринку праці -16,1%, інваліди – 3,6%. Частка незайнятого населення з вищою освітою склала 48,8% від загальної чисельності незайнятих трудовою діяльністю громадян (це на 6,0 більше, ніж  у  2011 році).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Рівень реєстрованого безробіття станом на 01.01.2013 року становив 1,7%, що на рівні з 01.01.2012 року. Статус безробітного протягом 2012 року мали 3388 городян, з них 2343 особи одержували допомогу по безробіттю.</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 сприянням служби зайнятості нові місця праці знайшли 1711 незайнятих осіб, у т.ч. шляхом надання дотацій роботодавцям – 248, одноразової виплати допомоги по безробіттю для організації підприємницької діяльності - 32.</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У громадських роботах приймало участь 1019 осіб, 445 осіб з числа безробітних проходили навчання за 21 робітничою професією, 6 спеціальностями та 23 напрямками.</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Протягом 2012 року на обліку в міському центрі зайнятості перебували 170 осіб з обмеженими можливостями, 95 осіб (55,8%) - інвалідів працевлаштовані, 10 осіб пройшли професійне навчання, 16 осіб брали участь у громадських роботах.</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Для соціально незахищених громадян, що перебувають на обліку у міському центрі зайнятості, на п’яти підприємствах міста у 2012 році було заброньовано 7 робочих місць. Всього протягом року з 754 осіб, що перебували на обліку, було працевлаштовано 185 осіб, на заброньовані робочі міста – 4 особи.</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xml:space="preserve">Завдання щодо створення нових робочих місць на 2012 рік - 2100 робочих місць, фактично створено 2093 нових робочих місць (або 99,7% від планового завдання). Найбільша </w:t>
      </w:r>
      <w:r w:rsidRPr="005B262A">
        <w:rPr>
          <w:rFonts w:ascii="Tahoma" w:eastAsia="Times New Roman" w:hAnsi="Tahoma" w:cs="Tahoma"/>
          <w:color w:val="4A4A4A"/>
          <w:lang w:eastAsia="ru-RU"/>
        </w:rPr>
        <w:lastRenderedPageBreak/>
        <w:t>питома вага нових робочих місць створена фізичними особами-підприємцями - 86% від загальної кількості.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 даними, що належать до компетенції служби зайнятості, в 2012 році створено  1751 робоче місце, в тому числі 696 – у юридичних осіб, 1055 – у фізичних осіб. Більшість робочих місць створено за рахунок власних коштів підприємств. Водночас ліквідували свою діяльність 497 роботодавців, з них 465 фізичних осіб-підприємців та 32 юридичні особи.  Але в зв’язку з тим, що на багатьох підприємствах під час ліквідації робочих місць існує практика попереднього звільнення працівників за різними причинами (в більшості випадків – за угодою сторін) з наступною ліквідацією вільних робочих місць, статистично розраховані показники ліквідації робочих місць значно занижені.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Також згідно даних звітності ф. №5-ПН кількість прийнятих працівників роботодавцями міста у 2012 році (7221 особа) зменшилась у порівнянні з 2011 роком (8338 осіб) більше ніж на 1100 осіб. Зменшилась і кількість вакансій, яка надійшла до центру зайнятості, майже на 700 вакансій  з 3748 за 2011 рік до 3058 за 2012 рік.</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Зменшилась і реєстрація трудових договорів ФОП з найманими працівниками, у 2012 році в порівнянні з 2011 роком з 1185 до 1055.</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Протягом 2012 року реалізувалась Програма зайнятості населення м.Сєвєродонецька на 2012-2013 роки, яка затверджена рішенням сесії міськради і її метою є сприяння зайнятості населення шляхом надання комплексу соціальних послуг, а також матеріального забезпечення; попередження масового безробіття; сприяння у відновленні якості робочої сили шляхом підготовки, перепідготовки, підвищення кваліфікації безробітних.</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У 2012  році статус безробітного мали  3388 мешканців міста (72,3% від  усього незайнятого населення),   з них  2343 особи отримували допомогу по безробіттю, що складає  в загальній чисельності безробітних 69,2%.</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Працевлаштування громадян за направленням центру зайнятості на підприємствах міста складає 1711 осіб. Із цієї кількості працевлаштованих: 58,2% - жінки, 51,8% - молодь у віці до 35 років. У  2012 році 445 осіб з числа безробітних проходили навчання за 21 робітничою професією та 6 спеціальностями. Професійне навчання проводиться з урахуванням потреб роботодавців. Так,  у 2012 році під конкретні робочі місця проходили навчання 253 особи, 246 осіб підвищили кваліфікацію за 23 напрямками, за індивідуальними планами та програмами безпосередньо на підприємстві навчалися 89 осіб, 48 осіб проходили стажування за професіями: продавець продовольчих товарів;  перукар (перукар-модельєр); кравець; кухар; продавець непродовольчих товарів; касир торгового залу; швачка; електромонтер з ремонту та обслуговуванню апаратури та пристроїв зв’язку, контролер-приймальник.</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Важливим напрямком роботи центру зайнятості є організація і проведення громадських робіт. Вони дозволяють окремим категоріям громадян, особливо тим, хто знаходиться в стані безробіття тривалий час, відновити трудові навички, іноді отримати постійну роботу, а також є можливістю поліпшити своє матеріальне становище.</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У 2012 році для організації та проведення громадських робіт було укладено 76 договорів, згідно яких у громадських роботах приймали участь 1019 осіб.</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Протягом  2012 р. на дотаційні робочі місця працевлаштовані 248 безробітних, з них 70 осіб з числа квотників  ( 2 випускника ПТЗ - на перше робоче місце), 12 інвалідів. Безробітні громадяни  працевлаштовані у 86 роботодавців: на  38 підприємствах та у 48 приватних підприємців.</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 2012 була продовжена робота по залученню безробітних громадян до організації підприємницькою діяльністю за рахунок одержання одноразової  виплати допомоги по безробіттю. За  2012 рік  32  особи пройшли профнавчання з курсу ”Підприємець-початківець”, з них 32 особи отримали одноразову виплату допомоги по безробіттю для організації підприємницької діяльності.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II. Основні тенденції соціально-економічного розвитку м. Сєвєродонецька у 2012-2013 роках та розвитку регіонального ринку праці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Очікується, що 2013-2014 роки стануть періодом якісних структурних зрушень в економіці у бік посилення  ролі інноваційної моделі розвитку, а також суттєвого вдосконалення ринкових інститутів, поглиблення європейської інтегрованості української економіки та поступового досягнення європейських стандартів життя населення.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У 2013 та 2014 роках проводитиметься реалізація стратегії розвитку, тобто реалізація ряду структурних реформ у всіх галузях економіки, яка гарантуватиме в середньостроковій перспективі щорічні темпи зростання обсягів промислової продукції в середньому на рівні 4,5 відсотка.</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Зростання індексу промислового виробництва планується в основному за рахунок галузей переробної промисловості. Створення у попередні 2011-2012 роки умов для довгострокового кредитування реального сектору економіки та домогосподарств, підвищення конкурентоспроможності вітчизняних товарів та послуг на зовнішніх ринках збуту, нарощення їх експорту сприятиме структурно-інноваційним змінам у виробництві промислової продукції.</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Започатковані процеси модернізації та технічного переозброєння промислового виробництва, завершення інвестиційних проектів з розбудови інфраструктури, оновлення виробничих потужностей, передбачені програмою соціально-економічного розвитку міста на 2013 рік, стимулюватимуть у 2014 році зростання виробництва продукції хімічної промисловості, машинобудування, готових металевих виробів.</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Зростання обсягів виробництва продукції хімічної промисловості передбачається досягти в основному за рахунок збільшення обсягів виробництва мінеральних добрив, беручи до уваги сприятливу кон'юнктуру зовнішніх ринків збуту та  зростання цін.</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Подальший розвиток машинобудування стане можливим завдяки зростанню обсягів виробництва продукції машинобудування для  промислового та агропромислового комплексу.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Для зниження матеріаломісткості та енергомісткості продукції машинобудівної галузі буде здійснено відновлення втраченого науково-технічного потенціалу та впровадження новітніх технологій, заміни устаткування і обладнання.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Соціальна політика у 2013-2014 роках буде базуватися на таких факторах:</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 2013 року величини затвердженого прожиткового мінімуму буде поступово наближатися до його фактичного розміру.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Прожитковий мінімум для працездатних осіб з 1 січня 2013 року досяг 1147 грн., а з 1 грудня становитиме  1218 гривень.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Прожитковий мінімум у середньому на одну особу становитиме з 1 січня – 1108 гривень, з 1 грудня – 1176 гривень.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Прожитковий мінімум для осіб, які втратили працездатність становитиме з 1 січня – 894 гривні, з 1 грудня – 949 гривень.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Прожитковий мінімум для дітей віком від 6 до 18 років досягне з 1 січня –1210 гривень, з  1 грудня – 1286 гривень.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Розміри соціальної допомоги при народженні дитини та деякі інші соціальні виплати будуть підвищені пропорційно зростанню величини прожиткового мінімуму.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Так, зокрема, у 2013 році буде збільшено (порівняно з початком 2012 року) розміри допомоги при народженні: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на першу дитину 30 прожиткових мінімумів для дітей віком до шести років (з 28830 гривень до 29160 гривень);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на другу дитину 60 прожиткових мінімумів для дітей віком до шести років (з 57660 гривень до 58320 гривень);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на третю і кожну наступну дитину 120 прожиткових мінімумів для дітей віком до шести років (з 115320 гривень до 116640 гривень).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Порівняно з 2012 роком розмір прожиткового мінімуму зросте на 7,4%.</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В 2013 році в м.Сєвєродонецьк  планується підвищення розміру середньомісячної заробітної  плати в середньому на 15%.</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У сфері соціальної підтримки протягом 2013-2014 років акцент робитиметься на адресності (тобто ураховуватиметься рівень доходів громадян) призначення соціальних виплат, а також ефективності контролю за цим процесом шляхом  упровадження непрямих методів оцінки доходів малозабезпечених громадян.</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Буде збільшено розмір державної соціальної допомоги, визначений відповідно до Закону України “Про державну соціальну допомогу малозабезпеченим сім’ям”, на кожну дитину віком від 3 до 13 років - 180 гривень, а на кожну дитину віком від 13 до 18 років –  360 гривень.</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У 2013-2014 роках політика у сфері охорони здоров'я буде спрямована на посилення профілактики та забезпечення раннього виявлення захворювань, підвищення якості медичної допомоги та доступності медичних послуг, створення стимулів для здорового способу життя  населення  й здорових умов праці.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Реалізація політики, спрямована на подальший розвиток сфери освіти, дозволить охопити дошкільною освітою біля 100% дітей дошкільного віку, оснастити 100% загальноосвітніх  навчальних закладів сучасними комп'ютерними комплексами з підключенням їх до мережі  Інтернет.</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Політика у сфері культури  спрямовуватиметься на збереження культурної спадщини.</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Подальший розвиток фізичної культури  і спорту у 2013-2014 роках забезпечуватиметься   шляхом проведення фізкультурно-оздоровчої та спортивно-масової роботи в усіх навчальних закладах, за місцем проживання, роботи у місцях масового відпочинку громадян, а також фізкультурно-оздоровчої та реабілітаційної роботи серед інвалідів.</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Згідно прогнозам міського центру зайнятості до 2017 року: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рівень фіксованого ринку праці буде зменшуватися з 5500 осіб у 2013 році до 5300 осіб у 2017 році;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чисельність працевлаштованих осіб, з тих що перебувають на обліку в центрі зайнятості буде збільшуватися з 1900 осіб у 2013 році до 2100 осіб у 2017році;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підвищувати мобільність робочої сили на ринку праці, її якість та конкурентоспроможність, зокрема осіб віком від 45 років шляхом видачі ваучерів на перепідготовку, підвищення кваліфікації до 65 осіб у 2017 році;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стимулювання заінтересованості роботодавців у працевлаштуванні соціально вразливих верств населення, у тому числі інвалідів шляхом компенсації єдиного внеску до 79 працівників у 2017 році;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здійснювати планомірну профорієнтаційну роботу серед молоді, в т.ч. учнівської, направлену на підвищення престижу робітничих професій;</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направляти на профнавчання  безробітних громадян тільки під потребу ринку праці або під самозайнятість до 343 осіб у 2017 році;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залучати до громадських та тимчасових робіт по 1000 осіб безробітних громадян;</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здійснювати заходи щодо посилення державної підтримки та соціального захисту осіб, які потребують соціального захисту і не здатні на рівних  конкурувати на ринку праці;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проводити заходи, спрямовані на посилення мотивації до легальної продуктивної зайнятості;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-здійснювати заходи, направлені на розвиток та підтримку малого підприємництва.</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85C73">
        <w:rPr>
          <w:rFonts w:ascii="Tahoma" w:eastAsia="Times New Roman" w:hAnsi="Tahoma" w:cs="Tahoma"/>
          <w:b/>
          <w:bCs/>
          <w:color w:val="4A4A4A"/>
          <w:lang w:eastAsia="ru-RU"/>
        </w:rPr>
        <w:t>Таблиця 1. Основні показники ринку праці</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tbl>
      <w:tblPr>
        <w:tblW w:w="0" w:type="auto"/>
        <w:tblInd w:w="108" w:type="dxa"/>
        <w:shd w:val="clear" w:color="auto" w:fill="FFFFFF"/>
        <w:tblCellMar>
          <w:left w:w="0" w:type="dxa"/>
          <w:right w:w="0" w:type="dxa"/>
        </w:tblCellMar>
        <w:tblLook w:val="04A0"/>
      </w:tblPr>
      <w:tblGrid>
        <w:gridCol w:w="2543"/>
        <w:gridCol w:w="872"/>
        <w:gridCol w:w="872"/>
        <w:gridCol w:w="1184"/>
        <w:gridCol w:w="1002"/>
        <w:gridCol w:w="1002"/>
        <w:gridCol w:w="1002"/>
        <w:gridCol w:w="986"/>
      </w:tblGrid>
      <w:tr w:rsidR="005B262A" w:rsidRPr="005B262A" w:rsidTr="005B262A">
        <w:tc>
          <w:tcPr>
            <w:tcW w:w="235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Найменування</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показника</w:t>
            </w:r>
          </w:p>
        </w:tc>
        <w:tc>
          <w:tcPr>
            <w:tcW w:w="10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2011</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звіт</w:t>
            </w:r>
          </w:p>
        </w:tc>
        <w:tc>
          <w:tcPr>
            <w:tcW w:w="10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2012</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звіт</w:t>
            </w:r>
          </w:p>
        </w:tc>
        <w:tc>
          <w:tcPr>
            <w:tcW w:w="10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2013</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очікуване</w:t>
            </w:r>
          </w:p>
        </w:tc>
        <w:tc>
          <w:tcPr>
            <w:tcW w:w="10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2014</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4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2015</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5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2016</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2017</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прогноз</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1.Чисельність зайнятого населення віком 15–70 років (у середньому за період), тис.осіб – усього</w:t>
            </w:r>
          </w:p>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44,255</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42,422</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43,300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43,300</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43,300</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43,300</w:t>
            </w:r>
          </w:p>
        </w:tc>
        <w:tc>
          <w:tcPr>
            <w:tcW w:w="11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43,300</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 неї зайнятого населення працездатного віку</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42,149</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40,458</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42,700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42,700</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42,700</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42,700</w:t>
            </w:r>
          </w:p>
        </w:tc>
        <w:tc>
          <w:tcPr>
            <w:tcW w:w="11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42,700</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2.Рівень зайнятості, у </w:t>
            </w:r>
            <w:r w:rsidRPr="005B262A">
              <w:rPr>
                <w:rFonts w:ascii="Times New Roman" w:eastAsia="Times New Roman" w:hAnsi="Times New Roman" w:cs="Times New Roman"/>
                <w:color w:val="4A4A4A"/>
                <w:lang w:val="uk-UA" w:eastAsia="ru-RU"/>
              </w:rPr>
              <w:lastRenderedPageBreak/>
              <w:t>% </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до чисельності населення:</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віком </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15-70 років</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36,8</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35,4</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36,4</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36,4</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36,4</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36,4</w:t>
            </w:r>
          </w:p>
        </w:tc>
        <w:tc>
          <w:tcPr>
            <w:tcW w:w="11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36,4</w:t>
            </w:r>
          </w:p>
        </w:tc>
      </w:tr>
      <w:tr w:rsidR="005B262A" w:rsidRPr="005B262A" w:rsidTr="005B262A">
        <w:trPr>
          <w:trHeight w:val="491"/>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працездатного віку</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35,1</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33,7</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35,9</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35,9</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35,9</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35,9</w:t>
            </w:r>
          </w:p>
        </w:tc>
        <w:tc>
          <w:tcPr>
            <w:tcW w:w="11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35,9</w:t>
            </w:r>
          </w:p>
        </w:tc>
      </w:tr>
      <w:tr w:rsidR="005B262A" w:rsidRPr="005B262A" w:rsidTr="005B262A">
        <w:trPr>
          <w:trHeight w:val="487"/>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віком 15-24 роки</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3.Чисельність безробітного населення віком 15-70 років, визначена за методологією МОП (у середньому за період), тис. осіб – усього</w:t>
            </w:r>
          </w:p>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 </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працездатного віку</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r>
      <w:tr w:rsidR="005B262A" w:rsidRPr="005B262A" w:rsidTr="005B262A">
        <w:trPr>
          <w:trHeight w:val="2676"/>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4.Рівень безробіття, визначений за методологією МОП, у % до чисельності економічно активного населення:</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віком 15-70 років</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r>
      <w:tr w:rsidR="005B262A" w:rsidRPr="005B262A" w:rsidTr="005B262A">
        <w:trPr>
          <w:trHeight w:val="501"/>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працездатного віку</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r>
      <w:tr w:rsidR="005B262A" w:rsidRPr="005B262A" w:rsidTr="005B262A">
        <w:trPr>
          <w:trHeight w:val="487"/>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віком 15-24 роки</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r>
    </w:tbl>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85C73">
        <w:rPr>
          <w:rFonts w:ascii="Tahoma" w:eastAsia="Times New Roman" w:hAnsi="Tahoma" w:cs="Tahoma"/>
          <w:b/>
          <w:bCs/>
          <w:color w:val="4A4A4A"/>
          <w:lang w:eastAsia="ru-RU"/>
        </w:rPr>
        <w:t>Таблиця 2. Показники професійної підготовки</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85C73">
        <w:rPr>
          <w:rFonts w:ascii="Tahoma" w:eastAsia="Times New Roman" w:hAnsi="Tahoma" w:cs="Tahoma"/>
          <w:b/>
          <w:bCs/>
          <w:color w:val="4A4A4A"/>
          <w:lang w:eastAsia="ru-RU"/>
        </w:rPr>
        <w:t>та використання робочої сили</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tbl>
      <w:tblPr>
        <w:tblW w:w="0" w:type="auto"/>
        <w:tblInd w:w="108" w:type="dxa"/>
        <w:shd w:val="clear" w:color="auto" w:fill="FFFFFF"/>
        <w:tblCellMar>
          <w:left w:w="0" w:type="dxa"/>
          <w:right w:w="0" w:type="dxa"/>
        </w:tblCellMar>
        <w:tblLook w:val="04A0"/>
      </w:tblPr>
      <w:tblGrid>
        <w:gridCol w:w="2377"/>
        <w:gridCol w:w="833"/>
        <w:gridCol w:w="834"/>
        <w:gridCol w:w="1202"/>
        <w:gridCol w:w="1042"/>
        <w:gridCol w:w="1041"/>
        <w:gridCol w:w="1065"/>
        <w:gridCol w:w="1069"/>
      </w:tblGrid>
      <w:tr w:rsidR="005B262A" w:rsidRPr="005B262A" w:rsidTr="005B262A">
        <w:tc>
          <w:tcPr>
            <w:tcW w:w="235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lastRenderedPageBreak/>
              <w:t>Найменування</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показника</w:t>
            </w:r>
          </w:p>
        </w:tc>
        <w:tc>
          <w:tcPr>
            <w:tcW w:w="10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2011</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звіт</w:t>
            </w:r>
          </w:p>
        </w:tc>
        <w:tc>
          <w:tcPr>
            <w:tcW w:w="10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2012</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звіт</w:t>
            </w:r>
          </w:p>
        </w:tc>
        <w:tc>
          <w:tcPr>
            <w:tcW w:w="10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2013</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очікуване</w:t>
            </w:r>
          </w:p>
        </w:tc>
        <w:tc>
          <w:tcPr>
            <w:tcW w:w="10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2014</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0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2015</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6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2016</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2017</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прогноз</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1.Кількість випускників навчальних закладів в регіоні, тис. осіб – усього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1,810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2,035</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1,525</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1,450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1,494</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1,282</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1,273</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c>
          <w:tcPr>
            <w:tcW w:w="235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у тому числі:</w:t>
            </w:r>
          </w:p>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6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21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c>
          <w:tcPr>
            <w:tcW w:w="235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-випускників вищих навчальних закладів ІІІ−ІV рівнів акредитації, усього</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0,955</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1,192</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0,650</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0,480</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0,574</w:t>
            </w:r>
          </w:p>
        </w:tc>
        <w:tc>
          <w:tcPr>
            <w:tcW w:w="116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0,327</w:t>
            </w:r>
          </w:p>
        </w:tc>
        <w:tc>
          <w:tcPr>
            <w:tcW w:w="121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0,310</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з них</w:t>
            </w:r>
            <w:r w:rsidRPr="005B262A">
              <w:rPr>
                <w:rFonts w:ascii="Times New Roman" w:eastAsia="Times New Roman" w:hAnsi="Times New Roman" w:cs="Times New Roman"/>
                <w:color w:val="4A4A4A"/>
                <w:lang w:val="uk-UA" w:eastAsia="ru-RU"/>
              </w:rPr>
              <w:t>працевлаштовані як молоді працівники;</w:t>
            </w:r>
          </w:p>
          <w:p w:rsidR="005B262A" w:rsidRPr="005B262A" w:rsidRDefault="005B262A" w:rsidP="005B262A">
            <w:pPr>
              <w:spacing w:after="180" w:line="360" w:lineRule="atLeast"/>
              <w:ind w:firstLine="176"/>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0,323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0,316</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0,287</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0,139</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0,125</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0,065</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0,086</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c>
          <w:tcPr>
            <w:tcW w:w="235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випускників вищих навчальних закладів </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І − ІІ рівнів акредитації, усього</w:t>
            </w:r>
          </w:p>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0,732</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0,529</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0,527</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0,385</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0,565</w:t>
            </w:r>
          </w:p>
        </w:tc>
        <w:tc>
          <w:tcPr>
            <w:tcW w:w="116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0,715</w:t>
            </w:r>
          </w:p>
        </w:tc>
        <w:tc>
          <w:tcPr>
            <w:tcW w:w="121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0,763</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з них</w:t>
            </w:r>
            <w:r w:rsidRPr="005B262A">
              <w:rPr>
                <w:rFonts w:ascii="Times New Roman" w:eastAsia="Times New Roman" w:hAnsi="Times New Roman" w:cs="Times New Roman"/>
                <w:color w:val="4A4A4A"/>
                <w:lang w:val="uk-UA" w:eastAsia="ru-RU"/>
              </w:rPr>
              <w:t>працевлаштовані як молоді працівники;</w:t>
            </w:r>
          </w:p>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hd w:val="clear" w:color="auto" w:fill="FFFFFF"/>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shd w:val="clear" w:color="auto" w:fill="FFFFFF"/>
                <w:lang w:eastAsia="ru-RU"/>
              </w:rPr>
              <w:t>0,160</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000000"/>
                <w:shd w:val="clear" w:color="auto" w:fill="FFFFFF"/>
                <w:lang w:eastAsia="ru-RU"/>
              </w:rPr>
              <w:t>0,175</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0,172</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0,141</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0,150</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0,160</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0,170</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c>
          <w:tcPr>
            <w:tcW w:w="235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випускників професійно-технічних навчальних закладів, усього</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0,620</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0,654</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0,688</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0,745</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0,695</w:t>
            </w:r>
          </w:p>
        </w:tc>
        <w:tc>
          <w:tcPr>
            <w:tcW w:w="116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0,700</w:t>
            </w:r>
          </w:p>
        </w:tc>
        <w:tc>
          <w:tcPr>
            <w:tcW w:w="121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0,700</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з них працевлаштовані як молоді працівники</w:t>
            </w:r>
          </w:p>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0,429</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0,462</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0,552</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0,605</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0,575</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0,580</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0,580</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2.Кількість укладених договорів про стажування між роботодавцем і особою, яка продовжує навчання, одиниць - усього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0,113</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0,113</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0,113</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0,089</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0,090</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 них такі, що передбачають отримання заробітної плати, одиниць</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0,113</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0,113</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0,113</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0,089</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0,090</w:t>
            </w:r>
          </w:p>
        </w:tc>
      </w:tr>
      <w:tr w:rsidR="005B262A" w:rsidRPr="005B262A" w:rsidTr="005B262A">
        <w:tc>
          <w:tcPr>
            <w:tcW w:w="235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3.Кількість укладених трудових договорів (строком не менш як на три роки) між роботодавцем та молодим працівником, що погоджується працювати в сільській місцевості, одиниць - усього</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w:t>
            </w:r>
            <w:r w:rsidRPr="005B262A">
              <w:rPr>
                <w:rFonts w:ascii="Tahoma" w:eastAsia="Times New Roman" w:hAnsi="Tahoma" w:cs="Tahoma"/>
                <w:color w:val="4A4A4A"/>
                <w:lang w:eastAsia="ru-RU"/>
              </w:rPr>
              <w:t>-</w:t>
            </w:r>
          </w:p>
        </w:tc>
        <w:tc>
          <w:tcPr>
            <w:tcW w:w="116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w:t>
            </w:r>
          </w:p>
        </w:tc>
        <w:tc>
          <w:tcPr>
            <w:tcW w:w="121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 тому числі з отриманням:</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одноразової адресної допомоги</w:t>
            </w:r>
          </w:p>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житла</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4.Середньооблікова штатна чисельність працівників, тис. осіб</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1,021</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0,970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0,938</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0,908</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0,864</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0,864</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0,864</w:t>
            </w:r>
          </w:p>
        </w:tc>
      </w:tr>
      <w:tr w:rsidR="005B262A" w:rsidRPr="005B262A" w:rsidTr="005B262A">
        <w:tc>
          <w:tcPr>
            <w:tcW w:w="235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5.Кількість працівників, які </w:t>
            </w:r>
            <w:r w:rsidRPr="005B262A">
              <w:rPr>
                <w:rFonts w:ascii="Times New Roman" w:eastAsia="Times New Roman" w:hAnsi="Times New Roman" w:cs="Times New Roman"/>
                <w:color w:val="4A4A4A"/>
                <w:lang w:val="uk-UA" w:eastAsia="ru-RU"/>
              </w:rPr>
              <w:lastRenderedPageBreak/>
              <w:t>знаходяться у вимушених неоплачуваних відпустках з ініціативи роботодавців,         тис. осіб</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 </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6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21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у % до середньооблікової штатної чисельності працівників</w:t>
            </w:r>
          </w:p>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r>
      <w:tr w:rsidR="005B262A" w:rsidRPr="005B262A" w:rsidTr="005B262A">
        <w:tc>
          <w:tcPr>
            <w:tcW w:w="235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6.Кількість працівників, які працюють у режимі неповного робочого дня (тижня),            тис. осіб</w:t>
            </w:r>
          </w:p>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0,039</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000000"/>
                <w:lang w:val="uk-UA" w:eastAsia="ru-RU"/>
              </w:rPr>
              <w:t>0,070</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000000"/>
                <w:lang w:val="uk-UA" w:eastAsia="ru-RU"/>
              </w:rPr>
              <w:t>0,083</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000000"/>
                <w:lang w:val="uk-UA" w:eastAsia="ru-RU"/>
              </w:rPr>
              <w:t>0,084</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0,072</w:t>
            </w:r>
          </w:p>
        </w:tc>
        <w:tc>
          <w:tcPr>
            <w:tcW w:w="116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0,072</w:t>
            </w:r>
          </w:p>
        </w:tc>
        <w:tc>
          <w:tcPr>
            <w:tcW w:w="121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0,072</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у % до середньооблікової штатної чисельності працівників</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3,8</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7,2</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8,8</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9,3</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8,3</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8,3</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8,3</w:t>
            </w:r>
          </w:p>
        </w:tc>
      </w:tr>
      <w:tr w:rsidR="005B262A" w:rsidRPr="005B262A" w:rsidTr="005B262A">
        <w:tc>
          <w:tcPr>
            <w:tcW w:w="235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8.Кількість працівників, які підвищили свою кваліфікацію, тис. осіб</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0,131</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0,068</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0,082</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0,111</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0,144</w:t>
            </w:r>
          </w:p>
        </w:tc>
        <w:tc>
          <w:tcPr>
            <w:tcW w:w="116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0,062</w:t>
            </w:r>
          </w:p>
        </w:tc>
        <w:tc>
          <w:tcPr>
            <w:tcW w:w="121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0,077</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 </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у % до середньооблікової штатної чисельності працівників</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000000"/>
                <w:lang w:val="uk-UA" w:eastAsia="ru-RU"/>
              </w:rPr>
              <w:t>12,8</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8,7</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12,2</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16,7</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7,2</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8,9</w:t>
            </w:r>
          </w:p>
        </w:tc>
      </w:tr>
      <w:tr w:rsidR="005B262A" w:rsidRPr="005B262A" w:rsidTr="005B262A">
        <w:tc>
          <w:tcPr>
            <w:tcW w:w="235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9.Кількість працівників, які </w:t>
            </w:r>
            <w:r w:rsidRPr="005B262A">
              <w:rPr>
                <w:rFonts w:ascii="Times New Roman" w:eastAsia="Times New Roman" w:hAnsi="Times New Roman" w:cs="Times New Roman"/>
                <w:color w:val="4A4A4A"/>
                <w:lang w:val="uk-UA" w:eastAsia="ru-RU"/>
              </w:rPr>
              <w:lastRenderedPageBreak/>
              <w:t>пройшли професійну підготовку та перепідготовку, тис. осіб</w:t>
            </w:r>
          </w:p>
          <w:p w:rsidR="005B262A" w:rsidRPr="005B262A" w:rsidRDefault="005B262A" w:rsidP="005B262A">
            <w:pPr>
              <w:spacing w:after="180" w:line="360" w:lineRule="atLeast"/>
              <w:ind w:firstLine="142"/>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0,010</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0,009</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0,011</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0,009</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0,008</w:t>
            </w:r>
          </w:p>
        </w:tc>
        <w:tc>
          <w:tcPr>
            <w:tcW w:w="116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0,010</w:t>
            </w:r>
          </w:p>
        </w:tc>
        <w:tc>
          <w:tcPr>
            <w:tcW w:w="121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0,009</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у % до середньооблікової штатної чисельності працівників</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0,9</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1,2</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0,9</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1,2</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p>
        </w:tc>
      </w:tr>
      <w:tr w:rsidR="005B262A" w:rsidRPr="005B262A" w:rsidTr="005B262A">
        <w:tc>
          <w:tcPr>
            <w:tcW w:w="235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у тому числі:</w:t>
            </w:r>
          </w:p>
          <w:p w:rsidR="005B262A" w:rsidRPr="005B262A" w:rsidRDefault="005B262A" w:rsidP="005B262A">
            <w:pPr>
              <w:spacing w:after="180" w:line="360" w:lineRule="atLeast"/>
              <w:ind w:firstLine="142"/>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66"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21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за кошти роботодавця</w:t>
            </w:r>
          </w:p>
          <w:p w:rsidR="005B262A" w:rsidRPr="005B262A" w:rsidRDefault="005B262A" w:rsidP="005B262A">
            <w:pPr>
              <w:spacing w:after="180" w:line="360" w:lineRule="atLeast"/>
              <w:ind w:firstLine="142"/>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за власні кошти</w:t>
            </w:r>
          </w:p>
          <w:p w:rsidR="005B262A" w:rsidRPr="005B262A" w:rsidRDefault="005B262A" w:rsidP="005B262A">
            <w:pPr>
              <w:spacing w:after="180" w:line="360" w:lineRule="atLeast"/>
              <w:ind w:firstLine="142"/>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0,009</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0,008</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0,011</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0,015</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0,008</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0,010</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0,015</w:t>
            </w:r>
          </w:p>
        </w:tc>
      </w:tr>
      <w:tr w:rsidR="005B262A" w:rsidRPr="005B262A" w:rsidTr="005B262A">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10.Кількість осіб старше 45 років, що отримали ваучер</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36</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63</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63</w:t>
            </w:r>
          </w:p>
        </w:tc>
        <w:tc>
          <w:tcPr>
            <w:tcW w:w="11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64</w:t>
            </w:r>
          </w:p>
        </w:tc>
        <w:tc>
          <w:tcPr>
            <w:tcW w:w="12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65</w:t>
            </w:r>
          </w:p>
        </w:tc>
      </w:tr>
    </w:tbl>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85C73">
        <w:rPr>
          <w:rFonts w:ascii="Tahoma" w:eastAsia="Times New Roman" w:hAnsi="Tahoma" w:cs="Tahoma"/>
          <w:b/>
          <w:bCs/>
          <w:color w:val="4A4A4A"/>
          <w:lang w:eastAsia="ru-RU"/>
        </w:rPr>
        <w:t>Таблиця 3. Працевлаштування на нові робочі місця</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tbl>
      <w:tblPr>
        <w:tblW w:w="0" w:type="auto"/>
        <w:tblInd w:w="108" w:type="dxa"/>
        <w:shd w:val="clear" w:color="auto" w:fill="FFFFFF"/>
        <w:tblCellMar>
          <w:left w:w="0" w:type="dxa"/>
          <w:right w:w="0" w:type="dxa"/>
        </w:tblCellMar>
        <w:tblLook w:val="04A0"/>
      </w:tblPr>
      <w:tblGrid>
        <w:gridCol w:w="2366"/>
        <w:gridCol w:w="815"/>
        <w:gridCol w:w="842"/>
        <w:gridCol w:w="1202"/>
        <w:gridCol w:w="1045"/>
        <w:gridCol w:w="1064"/>
        <w:gridCol w:w="1066"/>
        <w:gridCol w:w="1063"/>
      </w:tblGrid>
      <w:tr w:rsidR="005B262A" w:rsidRPr="005B262A" w:rsidTr="005B262A">
        <w:trPr>
          <w:trHeight w:val="283"/>
        </w:trPr>
        <w:tc>
          <w:tcPr>
            <w:tcW w:w="239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Найменування</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показника</w:t>
            </w:r>
          </w:p>
        </w:tc>
        <w:tc>
          <w:tcPr>
            <w:tcW w:w="10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2011</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звіт</w:t>
            </w:r>
          </w:p>
        </w:tc>
        <w:tc>
          <w:tcPr>
            <w:tcW w:w="10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2012</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звіт</w:t>
            </w:r>
          </w:p>
        </w:tc>
        <w:tc>
          <w:tcPr>
            <w:tcW w:w="10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2013</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очікуване</w:t>
            </w:r>
          </w:p>
        </w:tc>
        <w:tc>
          <w:tcPr>
            <w:tcW w:w="10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2014</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4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2015</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5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2016</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2017</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прогноз</w:t>
            </w:r>
          </w:p>
        </w:tc>
      </w:tr>
      <w:tr w:rsidR="005B262A" w:rsidRPr="005B262A" w:rsidTr="005B262A">
        <w:trPr>
          <w:trHeight w:val="283"/>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1.Працевлаштування на нові робочі місця, осіб – усього</w:t>
            </w:r>
          </w:p>
          <w:p w:rsidR="005B262A" w:rsidRPr="005B262A" w:rsidRDefault="005B262A" w:rsidP="005B262A">
            <w:pPr>
              <w:spacing w:after="180" w:line="360"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2125</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2150</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2175</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2200</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2210</w:t>
            </w:r>
          </w:p>
        </w:tc>
      </w:tr>
      <w:tr w:rsidR="005B262A" w:rsidRPr="005B262A" w:rsidTr="005B262A">
        <w:trPr>
          <w:trHeight w:val="217"/>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 них:</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1.1 юридичними </w:t>
            </w:r>
            <w:r w:rsidRPr="005B262A">
              <w:rPr>
                <w:rFonts w:ascii="Times New Roman" w:eastAsia="Times New Roman" w:hAnsi="Times New Roman" w:cs="Times New Roman"/>
                <w:color w:val="4A4A4A"/>
                <w:lang w:val="uk-UA" w:eastAsia="ru-RU"/>
              </w:rPr>
              <w:lastRenderedPageBreak/>
              <w:t>особами</w:t>
            </w:r>
          </w:p>
          <w:p w:rsidR="005B262A" w:rsidRPr="005B262A" w:rsidRDefault="005B262A" w:rsidP="005B262A">
            <w:pPr>
              <w:spacing w:after="180" w:line="217" w:lineRule="atLeast"/>
              <w:ind w:firstLine="176"/>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217"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217"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217"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530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217"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560</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217"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570</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217"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580</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217"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586</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1.2 фізичними особами-підприємцями та іншими фізичними особами – платниками податку з доходів фізичних осіб (включаючи робочі місця для найманих працівників)</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1595</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1590</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1605</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1620</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1624</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2.Працевлаштування на нові робочі місця за видами економічної діяльності, осіб*:</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сільське господарство, мисливство та лісове</w:t>
            </w:r>
          </w:p>
          <w:p w:rsidR="005B262A" w:rsidRPr="005B262A" w:rsidRDefault="005B262A" w:rsidP="005B262A">
            <w:pPr>
              <w:spacing w:after="180" w:line="179" w:lineRule="atLeast"/>
              <w:ind w:firstLine="176"/>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господарство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8</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8</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7</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7</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8</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рибне господарство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добувна промисловість</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обробна промисловість</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203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205</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207</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210</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212</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виробництво електроенергії, газу та води</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16</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17</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18</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18</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19</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будівництво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97</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98</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99</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100</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100</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оптова й роздрібна торгівля; торгівля транспортними засобами; </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послуги з ремонту</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897</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889</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894</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901</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902</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готелі та ресторани</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63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63</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65</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67</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70</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транспорт і зв'язок</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285</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287</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290</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293</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293</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фінансова діяльність</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22</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22</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24</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23</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23</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w:t>
            </w:r>
            <w:r w:rsidRPr="00585C73">
              <w:rPr>
                <w:rFonts w:ascii="Times New Roman" w:eastAsia="Times New Roman" w:hAnsi="Times New Roman" w:cs="Times New Roman"/>
                <w:color w:val="4A4A4A"/>
                <w:lang w:eastAsia="ru-RU"/>
              </w:rPr>
              <w:t> </w:t>
            </w:r>
            <w:r w:rsidRPr="005B262A">
              <w:rPr>
                <w:rFonts w:ascii="Times New Roman" w:eastAsia="Times New Roman" w:hAnsi="Times New Roman" w:cs="Times New Roman"/>
                <w:color w:val="4A4A4A"/>
                <w:lang w:val="uk-UA" w:eastAsia="ru-RU"/>
              </w:rPr>
              <w:t xml:space="preserve">операції з нерухомістю, здавання під найм та послуги юридичним </w:t>
            </w:r>
            <w:r w:rsidRPr="005B262A">
              <w:rPr>
                <w:rFonts w:ascii="Times New Roman" w:eastAsia="Times New Roman" w:hAnsi="Times New Roman" w:cs="Times New Roman"/>
                <w:color w:val="4A4A4A"/>
                <w:lang w:val="uk-UA" w:eastAsia="ru-RU"/>
              </w:rPr>
              <w:lastRenderedPageBreak/>
              <w:t>особам</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130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132</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134</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135</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135</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державне управління</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8</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8</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9</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9</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9</w:t>
            </w:r>
          </w:p>
        </w:tc>
      </w:tr>
      <w:tr w:rsidR="005B262A" w:rsidRPr="005B262A" w:rsidTr="005B262A">
        <w:trPr>
          <w:trHeight w:val="483"/>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освіта</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9</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10</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11</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13</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14</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охорона здоров'я та соціальна допомога</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19</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20</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20</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23</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23</w:t>
            </w:r>
          </w:p>
        </w:tc>
      </w:tr>
      <w:tr w:rsidR="005B262A" w:rsidRPr="005B262A" w:rsidTr="005B262A">
        <w:trPr>
          <w:trHeight w:val="49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інші</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368</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391</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397</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401</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402</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3.Чисельність працівників, за яких роботодавцю надається компенсація фактичних витрат по сплаті єдиного внеску на загальнообов’язкове державне соціальне страхування, осіб - усього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75</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76</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78</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79</w:t>
            </w:r>
          </w:p>
        </w:tc>
      </w:tr>
      <w:tr w:rsidR="005B262A" w:rsidRPr="005B262A" w:rsidTr="005B262A">
        <w:trPr>
          <w:trHeight w:val="436"/>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left="34"/>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 тому числі:</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ind w:left="34"/>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3.1 працівників у юридичних осіб, усього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45</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46</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48</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49</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ind w:left="34"/>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за яких компенсовано: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ind w:left="34"/>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50% суми нарахованого єдиного внеску, осіб</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ind w:left="34"/>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100% суми нарахованого єдиного внеску, осіб</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45</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46</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48</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49</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ind w:left="34"/>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3.2 працівників у фізичних осіб-підприємців та фізичних осіб – платників податку з доходів фізичних осіб, усього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ind w:left="34"/>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за яких компенсовано: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ind w:left="34"/>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50% суми нарахованого єдиного внеску, осіб</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30</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30</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30</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30</w:t>
            </w:r>
          </w:p>
        </w:tc>
      </w:tr>
      <w:tr w:rsidR="005B262A" w:rsidRPr="005B262A" w:rsidTr="005B262A">
        <w:trPr>
          <w:trHeight w:val="179"/>
        </w:trPr>
        <w:tc>
          <w:tcPr>
            <w:tcW w:w="239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179" w:lineRule="atLeast"/>
              <w:ind w:left="34"/>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100% суми нарахованого єдиного внеску, осіб</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30</w:t>
            </w:r>
          </w:p>
        </w:tc>
        <w:tc>
          <w:tcPr>
            <w:tcW w:w="114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30</w:t>
            </w:r>
          </w:p>
        </w:tc>
        <w:tc>
          <w:tcPr>
            <w:tcW w:w="11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30</w:t>
            </w:r>
          </w:p>
        </w:tc>
        <w:tc>
          <w:tcPr>
            <w:tcW w:w="11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179"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30</w:t>
            </w:r>
          </w:p>
        </w:tc>
      </w:tr>
    </w:tbl>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 Види економічної діяльності наводяться у відповідності до звіту щодо сум нарахованого єдиного внеску на загальнообов’язкове державне соціальне страхування, затвердженого постановою правління  Пенсійного Фонду України від 08.10.2010 № 22-2, зареєстр. в Мін'юсті   від 01.11.2010 № 1014/18309.</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85C73">
        <w:rPr>
          <w:rFonts w:ascii="Tahoma" w:eastAsia="Times New Roman" w:hAnsi="Tahoma" w:cs="Tahoma"/>
          <w:b/>
          <w:bCs/>
          <w:color w:val="4A4A4A"/>
          <w:lang w:eastAsia="ru-RU"/>
        </w:rPr>
        <w:t>Таблиця 4. Надання соціальних послуг Державною службою зайнятості України*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(тис. осіб)</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tbl>
      <w:tblPr>
        <w:tblW w:w="0" w:type="auto"/>
        <w:tblInd w:w="250" w:type="dxa"/>
        <w:shd w:val="clear" w:color="auto" w:fill="FFFFFF"/>
        <w:tblCellMar>
          <w:left w:w="0" w:type="dxa"/>
          <w:right w:w="0" w:type="dxa"/>
        </w:tblCellMar>
        <w:tblLook w:val="04A0"/>
      </w:tblPr>
      <w:tblGrid>
        <w:gridCol w:w="2219"/>
        <w:gridCol w:w="829"/>
        <w:gridCol w:w="793"/>
        <w:gridCol w:w="1202"/>
        <w:gridCol w:w="1051"/>
        <w:gridCol w:w="1070"/>
        <w:gridCol w:w="1105"/>
        <w:gridCol w:w="1052"/>
      </w:tblGrid>
      <w:tr w:rsidR="005B262A" w:rsidRPr="005B262A" w:rsidTr="005B262A">
        <w:tc>
          <w:tcPr>
            <w:tcW w:w="2498"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Найменування</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показника</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2011</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звіт</w:t>
            </w:r>
          </w:p>
        </w:tc>
        <w:tc>
          <w:tcPr>
            <w:tcW w:w="911"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2012</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звіт</w:t>
            </w:r>
          </w:p>
        </w:tc>
        <w:tc>
          <w:tcPr>
            <w:tcW w:w="10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2013</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очікуване</w:t>
            </w:r>
          </w:p>
        </w:tc>
        <w:tc>
          <w:tcPr>
            <w:tcW w:w="10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2014</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3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2015</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21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2016</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2017</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прогноз</w:t>
            </w:r>
          </w:p>
        </w:tc>
      </w:tr>
      <w:tr w:rsidR="005B262A" w:rsidRPr="005B262A" w:rsidTr="005B262A">
        <w:tc>
          <w:tcPr>
            <w:tcW w:w="249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 Чисельність осіб,що перебувають на обліку та отримують послуги протягом періоду</w:t>
            </w:r>
          </w:p>
        </w:tc>
        <w:tc>
          <w:tcPr>
            <w:tcW w:w="99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5404</w:t>
            </w:r>
          </w:p>
        </w:tc>
        <w:tc>
          <w:tcPr>
            <w:tcW w:w="91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4687</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5500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5450</w:t>
            </w:r>
          </w:p>
        </w:tc>
        <w:tc>
          <w:tcPr>
            <w:tcW w:w="113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5400</w:t>
            </w:r>
          </w:p>
        </w:tc>
        <w:tc>
          <w:tcPr>
            <w:tcW w:w="12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5350</w:t>
            </w:r>
          </w:p>
        </w:tc>
        <w:tc>
          <w:tcPr>
            <w:tcW w:w="11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5300</w:t>
            </w:r>
          </w:p>
        </w:tc>
      </w:tr>
      <w:tr w:rsidR="005B262A" w:rsidRPr="005B262A" w:rsidTr="005B262A">
        <w:tc>
          <w:tcPr>
            <w:tcW w:w="249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 Чисельність осіб, які мають статус безробітного</w:t>
            </w:r>
          </w:p>
        </w:tc>
        <w:tc>
          <w:tcPr>
            <w:tcW w:w="99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3582</w:t>
            </w:r>
          </w:p>
        </w:tc>
        <w:tc>
          <w:tcPr>
            <w:tcW w:w="91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3388</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5000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4950</w:t>
            </w:r>
          </w:p>
        </w:tc>
        <w:tc>
          <w:tcPr>
            <w:tcW w:w="113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4900</w:t>
            </w:r>
          </w:p>
        </w:tc>
        <w:tc>
          <w:tcPr>
            <w:tcW w:w="12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4850</w:t>
            </w:r>
          </w:p>
        </w:tc>
        <w:tc>
          <w:tcPr>
            <w:tcW w:w="11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4800</w:t>
            </w:r>
          </w:p>
        </w:tc>
      </w:tr>
      <w:tr w:rsidR="005B262A" w:rsidRPr="005B262A" w:rsidTr="005B262A">
        <w:tc>
          <w:tcPr>
            <w:tcW w:w="249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 Чисельність працевлаштованих осіб з числа тих, що перебувають на обліку</w:t>
            </w:r>
          </w:p>
        </w:tc>
        <w:tc>
          <w:tcPr>
            <w:tcW w:w="99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2196</w:t>
            </w:r>
          </w:p>
        </w:tc>
        <w:tc>
          <w:tcPr>
            <w:tcW w:w="91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1711</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1900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1950</w:t>
            </w:r>
          </w:p>
        </w:tc>
        <w:tc>
          <w:tcPr>
            <w:tcW w:w="113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2000</w:t>
            </w:r>
          </w:p>
        </w:tc>
        <w:tc>
          <w:tcPr>
            <w:tcW w:w="12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2050</w:t>
            </w:r>
          </w:p>
        </w:tc>
        <w:tc>
          <w:tcPr>
            <w:tcW w:w="11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2100</w:t>
            </w:r>
          </w:p>
        </w:tc>
      </w:tr>
      <w:tr w:rsidR="005B262A" w:rsidRPr="005B262A" w:rsidTr="005B262A">
        <w:tc>
          <w:tcPr>
            <w:tcW w:w="249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 Чисельність працевлаштованих осіб з числа зареєстрованих безробітних</w:t>
            </w:r>
          </w:p>
        </w:tc>
        <w:tc>
          <w:tcPr>
            <w:tcW w:w="99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684</w:t>
            </w:r>
          </w:p>
        </w:tc>
        <w:tc>
          <w:tcPr>
            <w:tcW w:w="91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684</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1500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1550</w:t>
            </w:r>
          </w:p>
        </w:tc>
        <w:tc>
          <w:tcPr>
            <w:tcW w:w="113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1600</w:t>
            </w:r>
          </w:p>
        </w:tc>
        <w:tc>
          <w:tcPr>
            <w:tcW w:w="12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1650</w:t>
            </w:r>
          </w:p>
        </w:tc>
        <w:tc>
          <w:tcPr>
            <w:tcW w:w="11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1700</w:t>
            </w:r>
          </w:p>
        </w:tc>
      </w:tr>
      <w:tr w:rsidR="005B262A" w:rsidRPr="005B262A" w:rsidTr="005B262A">
        <w:tc>
          <w:tcPr>
            <w:tcW w:w="249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5. Чисельність зареєстрованих безробітних, які проходитимуть </w:t>
            </w:r>
            <w:r w:rsidRPr="005B262A">
              <w:rPr>
                <w:rFonts w:ascii="Times New Roman" w:eastAsia="Times New Roman" w:hAnsi="Times New Roman" w:cs="Times New Roman"/>
                <w:color w:val="4A4A4A"/>
                <w:lang w:val="uk-UA" w:eastAsia="ru-RU"/>
              </w:rPr>
              <w:lastRenderedPageBreak/>
              <w:t>професійну підготовку, перепідготовку та підвищення кваліфікації</w:t>
            </w:r>
          </w:p>
        </w:tc>
        <w:tc>
          <w:tcPr>
            <w:tcW w:w="99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lastRenderedPageBreak/>
              <w:t>561</w:t>
            </w:r>
          </w:p>
        </w:tc>
        <w:tc>
          <w:tcPr>
            <w:tcW w:w="91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445</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330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333</w:t>
            </w:r>
          </w:p>
        </w:tc>
        <w:tc>
          <w:tcPr>
            <w:tcW w:w="113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337</w:t>
            </w:r>
          </w:p>
        </w:tc>
        <w:tc>
          <w:tcPr>
            <w:tcW w:w="12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340</w:t>
            </w:r>
          </w:p>
        </w:tc>
        <w:tc>
          <w:tcPr>
            <w:tcW w:w="11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343</w:t>
            </w:r>
          </w:p>
        </w:tc>
      </w:tr>
      <w:tr w:rsidR="005B262A" w:rsidRPr="005B262A" w:rsidTr="005B262A">
        <w:tc>
          <w:tcPr>
            <w:tcW w:w="249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6. Чисельність осіб, залучених до участі у громадських та інших роботах тимчасового характеру</w:t>
            </w:r>
          </w:p>
        </w:tc>
        <w:tc>
          <w:tcPr>
            <w:tcW w:w="99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1317</w:t>
            </w:r>
          </w:p>
        </w:tc>
        <w:tc>
          <w:tcPr>
            <w:tcW w:w="91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1019</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560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950</w:t>
            </w:r>
          </w:p>
        </w:tc>
        <w:tc>
          <w:tcPr>
            <w:tcW w:w="113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960</w:t>
            </w:r>
          </w:p>
        </w:tc>
        <w:tc>
          <w:tcPr>
            <w:tcW w:w="12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970</w:t>
            </w:r>
          </w:p>
        </w:tc>
        <w:tc>
          <w:tcPr>
            <w:tcW w:w="11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eastAsia="ru-RU"/>
              </w:rPr>
              <w:t>980</w:t>
            </w:r>
          </w:p>
        </w:tc>
      </w:tr>
      <w:tr w:rsidR="005B262A" w:rsidRPr="005B262A" w:rsidTr="005B262A">
        <w:tc>
          <w:tcPr>
            <w:tcW w:w="249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 них зареєстрованих безробітних</w:t>
            </w:r>
          </w:p>
        </w:tc>
        <w:tc>
          <w:tcPr>
            <w:tcW w:w="99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1317</w:t>
            </w:r>
          </w:p>
        </w:tc>
        <w:tc>
          <w:tcPr>
            <w:tcW w:w="91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1019</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560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950</w:t>
            </w:r>
          </w:p>
        </w:tc>
        <w:tc>
          <w:tcPr>
            <w:tcW w:w="113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960</w:t>
            </w:r>
          </w:p>
        </w:tc>
        <w:tc>
          <w:tcPr>
            <w:tcW w:w="12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970</w:t>
            </w:r>
          </w:p>
        </w:tc>
        <w:tc>
          <w:tcPr>
            <w:tcW w:w="11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980</w:t>
            </w:r>
          </w:p>
        </w:tc>
      </w:tr>
      <w:tr w:rsidR="005B262A" w:rsidRPr="005B262A" w:rsidTr="005B262A">
        <w:tc>
          <w:tcPr>
            <w:tcW w:w="249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Чисельність осіб, яким надано послугиз питань організації підприємницької діяльності та ведення власної справи</w:t>
            </w:r>
          </w:p>
        </w:tc>
        <w:tc>
          <w:tcPr>
            <w:tcW w:w="99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110</w:t>
            </w:r>
          </w:p>
        </w:tc>
        <w:tc>
          <w:tcPr>
            <w:tcW w:w="91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163</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165</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170</w:t>
            </w:r>
          </w:p>
        </w:tc>
        <w:tc>
          <w:tcPr>
            <w:tcW w:w="113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175</w:t>
            </w:r>
          </w:p>
        </w:tc>
        <w:tc>
          <w:tcPr>
            <w:tcW w:w="12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180</w:t>
            </w:r>
          </w:p>
        </w:tc>
        <w:tc>
          <w:tcPr>
            <w:tcW w:w="11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185</w:t>
            </w:r>
          </w:p>
        </w:tc>
      </w:tr>
      <w:tr w:rsidR="005B262A" w:rsidRPr="005B262A" w:rsidTr="005B262A">
        <w:tc>
          <w:tcPr>
            <w:tcW w:w="249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 них організували власну справу</w:t>
            </w:r>
          </w:p>
        </w:tc>
        <w:tc>
          <w:tcPr>
            <w:tcW w:w="99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90</w:t>
            </w:r>
          </w:p>
        </w:tc>
        <w:tc>
          <w:tcPr>
            <w:tcW w:w="91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32</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60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63</w:t>
            </w:r>
          </w:p>
        </w:tc>
        <w:tc>
          <w:tcPr>
            <w:tcW w:w="113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66</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21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69</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 </w:t>
            </w:r>
          </w:p>
        </w:tc>
        <w:tc>
          <w:tcPr>
            <w:tcW w:w="11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71</w:t>
            </w:r>
          </w:p>
        </w:tc>
      </w:tr>
    </w:tbl>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Реалізація заходів буде здійснюватися в межах коштів Фонду.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85C73">
        <w:rPr>
          <w:rFonts w:ascii="Tahoma" w:eastAsia="Times New Roman" w:hAnsi="Tahoma" w:cs="Tahoma"/>
          <w:b/>
          <w:bCs/>
          <w:color w:val="4A4A4A"/>
          <w:lang w:eastAsia="ru-RU"/>
        </w:rPr>
        <w:t>Таблиця 5. Показники сприяння зайнятості інвалідів</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(осіб)</w:t>
      </w:r>
    </w:p>
    <w:tbl>
      <w:tblPr>
        <w:tblW w:w="0" w:type="auto"/>
        <w:tblInd w:w="108" w:type="dxa"/>
        <w:shd w:val="clear" w:color="auto" w:fill="FFFFFF"/>
        <w:tblCellMar>
          <w:left w:w="0" w:type="dxa"/>
          <w:right w:w="0" w:type="dxa"/>
        </w:tblCellMar>
        <w:tblLook w:val="04A0"/>
      </w:tblPr>
      <w:tblGrid>
        <w:gridCol w:w="2355"/>
        <w:gridCol w:w="817"/>
        <w:gridCol w:w="845"/>
        <w:gridCol w:w="1202"/>
        <w:gridCol w:w="1046"/>
        <w:gridCol w:w="1064"/>
        <w:gridCol w:w="1072"/>
        <w:gridCol w:w="1062"/>
      </w:tblGrid>
      <w:tr w:rsidR="005B262A" w:rsidRPr="005B262A" w:rsidTr="005B262A">
        <w:trPr>
          <w:trHeight w:val="1008"/>
        </w:trPr>
        <w:tc>
          <w:tcPr>
            <w:tcW w:w="235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Найменування</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показника</w:t>
            </w:r>
          </w:p>
        </w:tc>
        <w:tc>
          <w:tcPr>
            <w:tcW w:w="10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2011</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звіт</w:t>
            </w:r>
          </w:p>
        </w:tc>
        <w:tc>
          <w:tcPr>
            <w:tcW w:w="10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2012</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звіт</w:t>
            </w:r>
          </w:p>
        </w:tc>
        <w:tc>
          <w:tcPr>
            <w:tcW w:w="109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2013</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очікуване</w:t>
            </w:r>
          </w:p>
        </w:tc>
        <w:tc>
          <w:tcPr>
            <w:tcW w:w="10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2014</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4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2015</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6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2016</w:t>
            </w:r>
          </w:p>
          <w:p w:rsidR="005B262A" w:rsidRPr="005B262A" w:rsidRDefault="005B262A" w:rsidP="005B262A">
            <w:pPr>
              <w:spacing w:after="180" w:line="360" w:lineRule="atLeast"/>
              <w:jc w:val="center"/>
              <w:rPr>
                <w:rFonts w:ascii="Tahoma" w:eastAsia="Times New Roman" w:hAnsi="Tahoma" w:cs="Tahoma"/>
                <w:color w:val="4A4A4A"/>
                <w:lang w:eastAsia="ru-RU"/>
              </w:rPr>
            </w:pPr>
            <w:r w:rsidRPr="005B262A">
              <w:rPr>
                <w:rFonts w:ascii="Tahoma" w:eastAsia="Times New Roman" w:hAnsi="Tahoma" w:cs="Tahoma"/>
                <w:color w:val="4A4A4A"/>
                <w:lang w:val="uk-UA" w:eastAsia="ru-RU"/>
              </w:rPr>
              <w:t>прогноз</w:t>
            </w:r>
          </w:p>
        </w:tc>
        <w:tc>
          <w:tcPr>
            <w:tcW w:w="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2017</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прогноз</w:t>
            </w:r>
          </w:p>
        </w:tc>
      </w:tr>
      <w:tr w:rsidR="005B262A" w:rsidRPr="005B262A" w:rsidTr="005B262A">
        <w:trPr>
          <w:trHeight w:val="710"/>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1.Чисельність працюючих інвалідів на підприємствах установах та організаціях, згідно із звітами, поданими до відділень Фонду соціального захисту інвалідів*</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969</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960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1034</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1064</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1079</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1081</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1085</w:t>
            </w:r>
          </w:p>
        </w:tc>
      </w:tr>
      <w:tr w:rsidR="005B262A" w:rsidRPr="005B262A" w:rsidTr="005B262A">
        <w:trPr>
          <w:trHeight w:val="989"/>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2.Кількість створених робочих місць за рахунок коштів Фонду соціального захисту інвалідів</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rPr>
          <w:trHeight w:val="976"/>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3.Чисельність інвалідів, що перебувають на обліку в Державній службі зайнятості України</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154</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170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250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245</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240</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235</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230</w:t>
            </w:r>
          </w:p>
        </w:tc>
      </w:tr>
      <w:tr w:rsidR="005B262A" w:rsidRPr="005B262A" w:rsidTr="005B262A">
        <w:trPr>
          <w:trHeight w:val="764"/>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3.1. з них зареєстровані безробітні</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96</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185</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180</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175</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170</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165</w:t>
            </w:r>
          </w:p>
        </w:tc>
      </w:tr>
      <w:tr w:rsidR="005B262A" w:rsidRPr="005B262A" w:rsidTr="005B262A">
        <w:trPr>
          <w:trHeight w:val="976"/>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4.Чисельність інвалідів, працевлаштованих за сприяння Державної служби зайнятості України</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95</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95</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96</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97</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98</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99</w:t>
            </w:r>
          </w:p>
        </w:tc>
      </w:tr>
      <w:tr w:rsidR="005B262A" w:rsidRPr="005B262A" w:rsidTr="005B262A">
        <w:trPr>
          <w:trHeight w:val="814"/>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4.1. з них зареєстровані безробітні</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21</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33</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91</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92</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93</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94</w:t>
            </w:r>
          </w:p>
        </w:tc>
      </w:tr>
      <w:tr w:rsidR="005B262A" w:rsidRPr="005B262A" w:rsidTr="005B262A">
        <w:trPr>
          <w:trHeight w:val="976"/>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4.1.1 у тому числі отримувачі одноразово виплаченої допомоги по безробіттю для </w:t>
            </w:r>
            <w:r w:rsidRPr="005B262A">
              <w:rPr>
                <w:rFonts w:ascii="Times New Roman" w:eastAsia="Times New Roman" w:hAnsi="Times New Roman" w:cs="Times New Roman"/>
                <w:color w:val="4A4A4A"/>
                <w:lang w:val="uk-UA" w:eastAsia="ru-RU"/>
              </w:rPr>
              <w:lastRenderedPageBreak/>
              <w:t>організації підприємницької діяльності</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4</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w:t>
            </w:r>
          </w:p>
        </w:tc>
      </w:tr>
      <w:tr w:rsidR="005B262A" w:rsidRPr="005B262A" w:rsidTr="005B262A">
        <w:trPr>
          <w:trHeight w:val="976"/>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5.Чисельність інвалідів, залучених до участі у громадських роботах</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12</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5</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11</w:t>
            </w:r>
          </w:p>
        </w:tc>
      </w:tr>
      <w:tr w:rsidR="005B262A" w:rsidRPr="005B262A" w:rsidTr="005B262A">
        <w:trPr>
          <w:trHeight w:val="852"/>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5.1. з них з числа зареєстрованих безробітних</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12</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5</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9</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11</w:t>
            </w:r>
          </w:p>
        </w:tc>
      </w:tr>
      <w:tr w:rsidR="005B262A" w:rsidRPr="005B262A" w:rsidTr="005B262A">
        <w:trPr>
          <w:trHeight w:val="976"/>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6. Чисельність інвалідів, які проходили професійне навчання – усього</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7</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5</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5</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6</w:t>
            </w:r>
          </w:p>
        </w:tc>
      </w:tr>
      <w:tr w:rsidR="005B262A" w:rsidRPr="005B262A" w:rsidTr="005B262A">
        <w:trPr>
          <w:trHeight w:val="317"/>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left="40"/>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зокрема за рахунок:</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rPr>
          <w:trHeight w:val="737"/>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6.1. коштів Фонду соціального захисту інвалідів</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p>
        </w:tc>
      </w:tr>
      <w:tr w:rsidR="005B262A" w:rsidRPr="005B262A" w:rsidTr="005B262A">
        <w:trPr>
          <w:trHeight w:val="928"/>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6.2. коштів Фонду загальнообов’язкового державного соціального страхування України на випадок безробіття</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6</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w:t>
            </w:r>
          </w:p>
        </w:tc>
      </w:tr>
      <w:tr w:rsidR="005B262A" w:rsidRPr="005B262A" w:rsidTr="005B262A">
        <w:trPr>
          <w:trHeight w:val="251"/>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7. Чисельність інвалідів, працевлаштованих строком не менше ніж на два роки на нові робочі місця за направленням Державної служби зайнятості України, за яких роботодавцю надається компенсація </w:t>
            </w:r>
            <w:r w:rsidRPr="005B262A">
              <w:rPr>
                <w:rFonts w:ascii="Times New Roman" w:eastAsia="Times New Roman" w:hAnsi="Times New Roman" w:cs="Times New Roman"/>
                <w:color w:val="4A4A4A"/>
                <w:lang w:val="uk-UA" w:eastAsia="ru-RU"/>
              </w:rPr>
              <w:lastRenderedPageBreak/>
              <w:t>витрат, пов’язаних із сплатою єдиного внеску на загальнообов’язкове державне соціальне страхування за відповідну особу за рахунок коштів Фонду соціального захисту інвалідів.</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r>
      <w:tr w:rsidR="005B262A" w:rsidRPr="005B262A" w:rsidTr="005B262A">
        <w:trPr>
          <w:trHeight w:val="722"/>
        </w:trPr>
        <w:tc>
          <w:tcPr>
            <w:tcW w:w="235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8. Чисельність інвалідів, працевлаштованих на підприємства, установи, організації шляхом надання дотацій за рахунок коштів Фонду соціального захисту інвалідів на створення спеціальних робочих місць для працевлаштування інвалідів, зареєстрованих у Державній службі зайнятості України як безробітні</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0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4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6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c>
          <w:tcPr>
            <w:tcW w:w="11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0</w:t>
            </w:r>
          </w:p>
        </w:tc>
      </w:tr>
    </w:tbl>
    <w:p w:rsidR="005B262A" w:rsidRPr="005B262A" w:rsidRDefault="005B262A" w:rsidP="005B262A">
      <w:pPr>
        <w:rPr>
          <w:rFonts w:ascii="Times New Roman" w:eastAsia="Times New Roman" w:hAnsi="Times New Roman" w:cs="Times New Roman"/>
          <w:lang w:eastAsia="ru-RU"/>
        </w:rPr>
      </w:pPr>
      <w:r w:rsidRPr="005B262A">
        <w:rPr>
          <w:rFonts w:ascii="Tahoma" w:eastAsia="Times New Roman" w:hAnsi="Tahoma" w:cs="Tahoma"/>
          <w:color w:val="4A4A4A"/>
          <w:shd w:val="clear" w:color="auto" w:fill="FFFFFF"/>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Визначається на основі звітних даних за формою №10-ПІ (річна), затвердженою наказом Мінпраці від 10 лютого 2007 р. №42 за погодженням з Держкомстатом та Держкомпідприємництвом (зареєстрований у Мін′юсті 13 лютого 2007 року за №117/13384).</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60"/>
        <w:jc w:val="center"/>
        <w:outlineLvl w:val="1"/>
        <w:rPr>
          <w:rFonts w:ascii="Tahoma" w:eastAsia="Times New Roman" w:hAnsi="Tahoma" w:cs="Tahoma"/>
          <w:b/>
          <w:bCs/>
          <w:color w:val="4A4A4A"/>
          <w:lang w:eastAsia="ru-RU"/>
        </w:rPr>
      </w:pPr>
      <w:r w:rsidRPr="005B262A">
        <w:rPr>
          <w:rFonts w:ascii="Tahoma" w:eastAsia="Times New Roman" w:hAnsi="Tahoma" w:cs="Tahoma"/>
          <w:b/>
          <w:bCs/>
          <w:color w:val="4A4A4A"/>
          <w:lang w:eastAsia="ru-RU"/>
        </w:rPr>
        <w:t>ІІІ. Напрями та заходи щодо поліпшення ситуації у сфері зайнятості населення до 2017 року</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tbl>
      <w:tblPr>
        <w:tblW w:w="0" w:type="auto"/>
        <w:tblInd w:w="5" w:type="dxa"/>
        <w:shd w:val="clear" w:color="auto" w:fill="FFFFFF"/>
        <w:tblCellMar>
          <w:left w:w="0" w:type="dxa"/>
          <w:right w:w="0" w:type="dxa"/>
        </w:tblCellMar>
        <w:tblLook w:val="04A0"/>
      </w:tblPr>
      <w:tblGrid>
        <w:gridCol w:w="682"/>
        <w:gridCol w:w="4519"/>
        <w:gridCol w:w="2636"/>
        <w:gridCol w:w="1437"/>
        <w:gridCol w:w="21"/>
        <w:gridCol w:w="65"/>
      </w:tblGrid>
      <w:tr w:rsidR="005B262A" w:rsidRPr="005B262A" w:rsidTr="005B262A">
        <w:tc>
          <w:tcPr>
            <w:tcW w:w="700" w:type="dxa"/>
            <w:tcBorders>
              <w:top w:val="single" w:sz="8" w:space="0" w:color="000000"/>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lastRenderedPageBreak/>
              <w:t>з/п</w:t>
            </w:r>
          </w:p>
        </w:tc>
        <w:tc>
          <w:tcPr>
            <w:tcW w:w="5610" w:type="dxa"/>
            <w:tcBorders>
              <w:top w:val="single" w:sz="8" w:space="0" w:color="000000"/>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ind w:right="34"/>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Найменування заходу</w:t>
            </w:r>
          </w:p>
        </w:tc>
        <w:tc>
          <w:tcPr>
            <w:tcW w:w="2416" w:type="dxa"/>
            <w:tcBorders>
              <w:top w:val="single" w:sz="8" w:space="0" w:color="000000"/>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Виконавці</w:t>
            </w:r>
          </w:p>
        </w:tc>
        <w:tc>
          <w:tcPr>
            <w:tcW w:w="1587" w:type="dxa"/>
            <w:tcBorders>
              <w:top w:val="single" w:sz="8" w:space="0" w:color="000000"/>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Термін виконання</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 </w:t>
            </w:r>
          </w:p>
        </w:tc>
      </w:tr>
      <w:tr w:rsidR="005B262A" w:rsidRPr="005B262A" w:rsidTr="005B262A">
        <w:trPr>
          <w:trHeight w:val="622"/>
        </w:trPr>
        <w:tc>
          <w:tcPr>
            <w:tcW w:w="10313" w:type="dxa"/>
            <w:gridSpan w:val="4"/>
            <w:tcBorders>
              <w:top w:val="nil"/>
              <w:left w:val="single" w:sz="8" w:space="0" w:color="000000"/>
              <w:bottom w:val="single" w:sz="8" w:space="0" w:color="000000"/>
              <w:right w:val="nil"/>
            </w:tcBorders>
            <w:shd w:val="clear" w:color="auto" w:fill="FFFFFF"/>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1.Розширення сфери застосування праці та стимулювання заінтересованості роботодавців у створенні нових робочих місць</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rPr>
          <w:trHeight w:val="894"/>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r w:rsidRPr="005B262A">
              <w:rPr>
                <w:rFonts w:ascii="Times New Roman" w:eastAsia="Times New Roman" w:hAnsi="Times New Roman" w:cs="Times New Roman"/>
                <w:color w:val="4A4A4A"/>
                <w:lang w:eastAsia="ru-RU"/>
              </w:rPr>
              <w:t>1</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Залучення безробітних громадян до самозайнятості шляхом надання їм одноразової допомоги по безробіттю для організації підприємницької діяльності</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948"/>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w:t>
            </w:r>
            <w:r w:rsidRPr="005B262A">
              <w:rPr>
                <w:rFonts w:ascii="Times New Roman" w:eastAsia="Times New Roman" w:hAnsi="Times New Roman" w:cs="Times New Roman"/>
                <w:color w:val="4A4A4A"/>
                <w:lang w:val="uk-UA" w:eastAsia="ru-RU"/>
              </w:rPr>
              <w:t>2</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Організація навчання основам бізнесу відповідно до чинного законодавства безробітних осіб, які виявили бажання отримати виплату допомоги по безробіттю одноразово для організації підприємницької діяльності</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743"/>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w:t>
            </w:r>
            <w:r w:rsidRPr="005B262A">
              <w:rPr>
                <w:rFonts w:ascii="Times New Roman" w:eastAsia="Times New Roman" w:hAnsi="Times New Roman" w:cs="Times New Roman"/>
                <w:color w:val="4A4A4A"/>
                <w:lang w:val="uk-UA" w:eastAsia="ru-RU"/>
              </w:rPr>
              <w:t>3</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Щороку під час формування місцевого бюджету розглядати питання можливості організації та фінансування громадських робіт</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Міська рада</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1254"/>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w:t>
            </w:r>
            <w:r w:rsidRPr="005B262A">
              <w:rPr>
                <w:rFonts w:ascii="Times New Roman" w:eastAsia="Times New Roman" w:hAnsi="Times New Roman" w:cs="Times New Roman"/>
                <w:color w:val="4A4A4A"/>
                <w:lang w:val="uk-UA" w:eastAsia="ru-RU"/>
              </w:rPr>
              <w:t>4</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Організовувати громадські роботи за рахунок Фонду загальнообов’язкового державного страхування на випадок безробіття та коштів місцевого бюджету з метою забезпечення безробітних тимчасовою зайнятістю, відновлення їх трудових навичок та адаптації в трудовому колективі</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Міська рада, міський центр зайнятості</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rPr>
          <w:trHeight w:val="1413"/>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r w:rsidRPr="005B262A">
              <w:rPr>
                <w:rFonts w:ascii="Times New Roman" w:eastAsia="Times New Roman" w:hAnsi="Times New Roman" w:cs="Times New Roman"/>
                <w:color w:val="4A4A4A"/>
                <w:lang w:eastAsia="ru-RU"/>
              </w:rPr>
              <w:t>5</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Сприяти працевлаштуванню громадян, які звернулися до центру зайнятості шляхом удосконалення співпраці з роботодавцями; залучення клієнтів до використання сучасних методів </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пошуку роботи; інформування про ситуацію на регіональних ринках праці з метою підвищення мобільності робочої сили</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ind w:left="39"/>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підприємства міста,</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суб’єкти підприємницької діяльності</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1263"/>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1.6</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Взаємодіяти з роботодавцями шляхом проведення семінарів, відвідувань підприємств, спільних заходів щодо перспектив зайнятості з </w:t>
            </w:r>
            <w:r w:rsidRPr="005B262A">
              <w:rPr>
                <w:rFonts w:ascii="Times New Roman" w:eastAsia="Times New Roman" w:hAnsi="Times New Roman" w:cs="Times New Roman"/>
                <w:color w:val="4A4A4A"/>
                <w:lang w:val="uk-UA" w:eastAsia="ru-RU"/>
              </w:rPr>
              <w:lastRenderedPageBreak/>
              <w:t>метою збереження трудових ресурсів, запобіганню безпідставного звільнення працівників, збору інформації про вакансії.</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Міський центр зайнятості</w:t>
            </w:r>
          </w:p>
          <w:p w:rsidR="005B262A" w:rsidRPr="005B262A" w:rsidRDefault="005B262A" w:rsidP="005B262A">
            <w:pPr>
              <w:spacing w:after="180" w:line="360" w:lineRule="atLeast"/>
              <w:ind w:left="93"/>
              <w:rPr>
                <w:rFonts w:ascii="Times New Roman" w:eastAsia="Times New Roman" w:hAnsi="Times New Roman" w:cs="Times New Roman"/>
                <w:color w:val="4A4A4A"/>
                <w:lang w:eastAsia="ru-RU"/>
              </w:rPr>
            </w:pP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1268"/>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lastRenderedPageBreak/>
              <w:t>1.7</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Проводити семінари – наради з керівниками, фахівцями підприємств, установ та організацій, профспілковим активом з питань регулювання трудових відносин через колективні договори з метою підвищення соціальної відповідальності керівників щодо детінізації зайнятості і трудових відносин</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УПтаСЗН</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817"/>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1.8</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Забезпечити нагляд і контроль за додержанням законодавства про працю, умови праці на підприємствах, організаціях міста та у фізичних осіб-суб’єктів підприємницької діяльності</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Державний інспектор праці, УПтаСЗН</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1.9</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Надавати роботодавцям консультації з питань зайнятості та трудових відносин</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УПтаСЗН, міський центр зайнятості</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562"/>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1.10</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Для забезпечення своєчасності та повноти сплати податків, погашення заборгованості із виплати заробітної плати та внесків до Фондів здійснювати:</w:t>
            </w:r>
          </w:p>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засідання комісії з питань забезпечення своєчасності та повноти сплати податків, погашення заборгованості із виплати заробітної плати та внесків до Фондів;</w:t>
            </w:r>
          </w:p>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підприємствам міста готувати та подавати звіти щодо заборгованості із виплати заробітної плати, страховим внескам до Фондів та місцевого бюджету (згідно Постанови КМУ від 18.03.2009р. №370, Листа Мінпраці та соц.політики України від 02.07.2009р. № 810/0/15-09/13), використовуючи засоби електронної звітності за допомогою мережі Internet;</w:t>
            </w:r>
          </w:p>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 здійснювати спільні заходи щодо легалізації виплати заробітної плати та зайнятості </w:t>
            </w:r>
            <w:r w:rsidRPr="005B262A">
              <w:rPr>
                <w:rFonts w:ascii="Times New Roman" w:eastAsia="Times New Roman" w:hAnsi="Times New Roman" w:cs="Times New Roman"/>
                <w:color w:val="4A4A4A"/>
                <w:lang w:val="uk-UA" w:eastAsia="ru-RU"/>
              </w:rPr>
              <w:lastRenderedPageBreak/>
              <w:t>населення.</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Міська рада, міське відділення ПФУ, ДПІ, роботодавці міста</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556"/>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lastRenderedPageBreak/>
              <w:t>1.11</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Проводити серед населення просвітницьку діяльність негативних наслідків нелегальної трудової діяльності.</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 ЗМІ, міська рада, УПтаСЗН, ДПІ</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576"/>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1.1</w:t>
            </w:r>
            <w:r w:rsidRPr="005B262A">
              <w:rPr>
                <w:rFonts w:ascii="Times New Roman" w:eastAsia="Times New Roman" w:hAnsi="Times New Roman" w:cs="Times New Roman"/>
                <w:color w:val="4A4A4A"/>
                <w:lang w:val="uk-UA" w:eastAsia="ru-RU"/>
              </w:rPr>
              <w:t>3</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Організовувати різні формати ярмарків вакансій за участю соціальних партнерів, роботодавців, безробітних</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2012-2013 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1251"/>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1.1</w:t>
            </w:r>
            <w:r w:rsidRPr="005B262A">
              <w:rPr>
                <w:rFonts w:ascii="Times New Roman" w:eastAsia="Times New Roman" w:hAnsi="Times New Roman" w:cs="Times New Roman"/>
                <w:color w:val="4A4A4A"/>
                <w:lang w:val="uk-UA" w:eastAsia="ru-RU"/>
              </w:rPr>
              <w:t>5</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Проводити інформаційно-роз’яснювальну роботу через засоби масової інформації та в ході проведення масових заходів про можливості служби зайнятості щодо надання соціальних послуг і допомоги у випадку вивільнення працівників з підприємств</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ind w:left="39"/>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p w:rsidR="005B262A" w:rsidRPr="005B262A" w:rsidRDefault="005B262A" w:rsidP="005B262A">
            <w:pPr>
              <w:spacing w:after="180" w:line="360" w:lineRule="atLeast"/>
              <w:ind w:left="93"/>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1256"/>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1.1</w:t>
            </w:r>
            <w:r w:rsidRPr="005B262A">
              <w:rPr>
                <w:rFonts w:ascii="Times New Roman" w:eastAsia="Times New Roman" w:hAnsi="Times New Roman" w:cs="Times New Roman"/>
                <w:color w:val="4A4A4A"/>
                <w:lang w:val="uk-UA" w:eastAsia="ru-RU"/>
              </w:rPr>
              <w:t>6</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Проводити спільні дії з керівниками ринкоутворюючих підприємств для покращення якості пропонованих вакансій за рахунок забезпечення повноти, достовірності та доступності інформації про робочі місця та вимоги роботодавця, яка надається претендентам на заміщення вільних робочих місць</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p w:rsidR="005B262A" w:rsidRPr="005B262A" w:rsidRDefault="005B262A" w:rsidP="005B262A">
            <w:pPr>
              <w:spacing w:after="180" w:line="360" w:lineRule="atLeast"/>
              <w:ind w:right="-108"/>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підприємства, установи, організації</w:t>
            </w:r>
          </w:p>
          <w:p w:rsidR="005B262A" w:rsidRPr="005B262A" w:rsidRDefault="005B262A" w:rsidP="005B262A">
            <w:pPr>
              <w:spacing w:after="180" w:line="360" w:lineRule="atLeast"/>
              <w:ind w:left="93"/>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1274"/>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1.1</w:t>
            </w:r>
            <w:r w:rsidRPr="005B262A">
              <w:rPr>
                <w:rFonts w:ascii="Times New Roman" w:eastAsia="Times New Roman" w:hAnsi="Times New Roman" w:cs="Times New Roman"/>
                <w:color w:val="4A4A4A"/>
                <w:lang w:val="uk-UA" w:eastAsia="ru-RU"/>
              </w:rPr>
              <w:t>7</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Скоординувати дії та об’єднати зусилля ПТНЗ, роботодавців та ЦЗ міста популяризації робітничих професій, які користуються попитом на ринку праці, але вважаються не престижними (токар, фрезерувальник, машиніст бульдозера, екскаватора)</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ПТНЗ, міський центр зайнятості</w:t>
            </w:r>
          </w:p>
          <w:p w:rsidR="005B262A" w:rsidRPr="005B262A" w:rsidRDefault="005B262A" w:rsidP="005B262A">
            <w:pPr>
              <w:spacing w:after="180" w:line="360" w:lineRule="atLeast"/>
              <w:ind w:left="93"/>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rPr>
          <w:trHeight w:val="654"/>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w:t>
            </w:r>
            <w:r w:rsidRPr="005B262A">
              <w:rPr>
                <w:rFonts w:ascii="Times New Roman" w:eastAsia="Times New Roman" w:hAnsi="Times New Roman" w:cs="Times New Roman"/>
                <w:color w:val="4A4A4A"/>
                <w:lang w:eastAsia="ru-RU"/>
              </w:rPr>
              <w:t>1</w:t>
            </w:r>
            <w:r w:rsidRPr="005B262A">
              <w:rPr>
                <w:rFonts w:ascii="Times New Roman" w:eastAsia="Times New Roman" w:hAnsi="Times New Roman" w:cs="Times New Roman"/>
                <w:color w:val="4A4A4A"/>
                <w:lang w:val="uk-UA" w:eastAsia="ru-RU"/>
              </w:rPr>
              <w:t>8</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 метою інформування молоді про стан на ринку праці міста та регіону ширше залучати ЗМІ</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ПТНЗ, міський центр зайнятості, ЗМІ</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1.19</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000000"/>
                <w:lang w:val="uk-UA" w:eastAsia="ru-RU"/>
              </w:rPr>
              <w:t>Створити за рахунок власних коштів 21 робоче місце на промислових підприємствах, організаціях, установах:</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000000"/>
                <w:lang w:val="uk-UA" w:eastAsia="ru-RU"/>
              </w:rPr>
              <w:t xml:space="preserve">ПОГ (підприємство об'єднання громадян) </w:t>
            </w:r>
            <w:r w:rsidRPr="005B262A">
              <w:rPr>
                <w:rFonts w:ascii="Tahoma" w:eastAsia="Times New Roman" w:hAnsi="Tahoma" w:cs="Tahoma"/>
                <w:color w:val="000000"/>
                <w:lang w:val="uk-UA" w:eastAsia="ru-RU"/>
              </w:rPr>
              <w:lastRenderedPageBreak/>
              <w:t>“КВАНТ” - 6 р.м.</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000000"/>
                <w:lang w:val="uk-UA" w:eastAsia="ru-RU"/>
              </w:rPr>
              <w:t>ПОГ “ПРОТОН” - 6 р.м.</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000000"/>
                <w:lang w:val="uk-UA" w:eastAsia="ru-RU"/>
              </w:rPr>
              <w:t>ТОВ “СПУ” - 2 р.м.</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000000"/>
                <w:lang w:val="uk-UA" w:eastAsia="ru-RU"/>
              </w:rPr>
              <w:t>ТОВ “ЕДЛ Інжиніринг” - 1 р.м.</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000000"/>
                <w:lang w:val="uk-UA" w:eastAsia="ru-RU"/>
              </w:rPr>
              <w:t>Комунальна установа “Трудовий архів м.Сєвєродонецька” - 2 р.м.</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000000"/>
                <w:lang w:val="uk-UA" w:eastAsia="ru-RU"/>
              </w:rPr>
              <w:t>ТОВ “Риел-Сервіс” - 4 р.м.</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000000"/>
                <w:lang w:val="uk-UA" w:eastAsia="ru-RU"/>
              </w:rPr>
              <w:lastRenderedPageBreak/>
              <w:t>Адміністрація підприємств:</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000000"/>
                <w:lang w:val="uk-UA" w:eastAsia="ru-RU"/>
              </w:rPr>
              <w:t xml:space="preserve">ПОГ “КВАНТ”, ПОГ “ПРОТОН”, ТОВ “СПУ”, ТОВ “ЕДЛ Інжиніринг”, КУ “Трудовий архів </w:t>
            </w:r>
            <w:r w:rsidRPr="005B262A">
              <w:rPr>
                <w:rFonts w:ascii="Times New Roman" w:eastAsia="Times New Roman" w:hAnsi="Times New Roman" w:cs="Times New Roman"/>
                <w:color w:val="000000"/>
                <w:lang w:val="uk-UA" w:eastAsia="ru-RU"/>
              </w:rPr>
              <w:lastRenderedPageBreak/>
              <w:t>м.Сєвєродонецька”, ТОВ “Риел-Сервіс”</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 </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rPr>
          <w:trHeight w:val="912"/>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1.20</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Спільно з роботодавцями запровадити систему ранньої адаптації випускників Технологічного інституту на первинних посадах</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Технологічний інститут, підприємства міста</w:t>
            </w:r>
          </w:p>
          <w:p w:rsidR="005B262A" w:rsidRPr="005B262A" w:rsidRDefault="005B262A" w:rsidP="005B262A">
            <w:pPr>
              <w:spacing w:after="180" w:line="360" w:lineRule="atLeast"/>
              <w:ind w:left="93"/>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r>
      <w:tr w:rsidR="005B262A" w:rsidRPr="005B262A" w:rsidTr="005B262A">
        <w:trPr>
          <w:trHeight w:val="907"/>
        </w:trPr>
        <w:tc>
          <w:tcPr>
            <w:tcW w:w="70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1.21</w:t>
            </w:r>
          </w:p>
        </w:tc>
        <w:tc>
          <w:tcPr>
            <w:tcW w:w="5610"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Сформувати систему галузевих зв’язків між Технологічними інститутом та роботодавцями з метою забезпечення працевлаштування випускників</w:t>
            </w:r>
          </w:p>
        </w:tc>
        <w:tc>
          <w:tcPr>
            <w:tcW w:w="2416"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Технологічний інститут, підприємства міста</w:t>
            </w:r>
          </w:p>
          <w:p w:rsidR="005B262A" w:rsidRPr="005B262A" w:rsidRDefault="005B262A" w:rsidP="005B262A">
            <w:pPr>
              <w:spacing w:after="180" w:line="360" w:lineRule="atLeast"/>
              <w:ind w:left="93"/>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587" w:type="dxa"/>
            <w:tcBorders>
              <w:top w:val="nil"/>
              <w:left w:val="single" w:sz="8" w:space="0" w:color="000000"/>
              <w:bottom w:val="single" w:sz="8" w:space="0" w:color="000000"/>
              <w:right w:val="nil"/>
            </w:tcBorders>
            <w:shd w:val="clear" w:color="auto" w:fill="FFFFFF"/>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eastAsia="ru-RU"/>
              </w:rPr>
              <w:t> </w:t>
            </w:r>
          </w:p>
        </w:tc>
      </w:tr>
      <w:tr w:rsidR="005B262A" w:rsidRPr="005B262A" w:rsidTr="005B262A">
        <w:trPr>
          <w:trHeight w:val="693"/>
        </w:trPr>
        <w:tc>
          <w:tcPr>
            <w:tcW w:w="10313" w:type="dxa"/>
            <w:gridSpan w:val="4"/>
            <w:tcBorders>
              <w:top w:val="nil"/>
              <w:left w:val="single" w:sz="8" w:space="0" w:color="000000"/>
              <w:bottom w:val="single" w:sz="8" w:space="0" w:color="000000"/>
              <w:right w:val="nil"/>
            </w:tcBorders>
            <w:shd w:val="clear" w:color="auto" w:fill="FFFFFF"/>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eastAsia="ru-RU"/>
              </w:rPr>
              <w:t>2.Підвищення професійного рівня та конкурентоспроможності економічно активного населення</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972"/>
        </w:trPr>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w:t>
            </w:r>
            <w:r w:rsidRPr="005B262A">
              <w:rPr>
                <w:rFonts w:ascii="Times New Roman" w:eastAsia="Times New Roman" w:hAnsi="Times New Roman" w:cs="Times New Roman"/>
                <w:color w:val="4A4A4A"/>
                <w:lang w:val="uk-UA" w:eastAsia="ru-RU"/>
              </w:rPr>
              <w:t>.1</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Забезпечувати підготовку кваліфікованих робітничіх кадрів, в тому числі із числа незайнятого населення у професійно-технічних навчальних закладах відповідно до потреб підприємств, установ, організацій та </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ринку праці міста</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Відділ освіти, УПта СЗН, ПТНЗ</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shd w:val="clear" w:color="auto" w:fill="FFFF00"/>
                <w:lang w:val="uk-UA" w:eastAsia="ru-RU"/>
              </w:rPr>
              <w:t> </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w:t>
            </w:r>
            <w:r w:rsidRPr="005B262A">
              <w:rPr>
                <w:rFonts w:ascii="Times New Roman" w:eastAsia="Times New Roman" w:hAnsi="Times New Roman" w:cs="Times New Roman"/>
                <w:color w:val="4A4A4A"/>
                <w:lang w:val="uk-UA" w:eastAsia="ru-RU"/>
              </w:rPr>
              <w:t>.</w:t>
            </w:r>
            <w:r w:rsidRPr="005B262A">
              <w:rPr>
                <w:rFonts w:ascii="Times New Roman" w:eastAsia="Times New Roman" w:hAnsi="Times New Roman" w:cs="Times New Roman"/>
                <w:color w:val="4A4A4A"/>
                <w:lang w:eastAsia="ru-RU"/>
              </w:rPr>
              <w:t>2</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Організація професійного навчання, перенавчання та підвищення кваліфікації безробітних громадян на замовлення роботодавців та під самозайнятість</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1056"/>
        </w:trPr>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w:t>
            </w:r>
            <w:r w:rsidRPr="005B262A">
              <w:rPr>
                <w:rFonts w:ascii="Times New Roman" w:eastAsia="Times New Roman" w:hAnsi="Times New Roman" w:cs="Times New Roman"/>
                <w:color w:val="4A4A4A"/>
                <w:lang w:eastAsia="ru-RU"/>
              </w:rPr>
              <w:t>3</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Видача ваучерів особам старше 45 років для здійснення перепідготовки, спеціалізації, підвищення кваліфікації за </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професіями та спеціальностями згідно з пріоритетними видами економічної діяльності</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w:t>
            </w:r>
            <w:r w:rsidRPr="005B262A">
              <w:rPr>
                <w:rFonts w:ascii="Times New Roman" w:eastAsia="Times New Roman" w:hAnsi="Times New Roman" w:cs="Times New Roman"/>
                <w:color w:val="4A4A4A"/>
                <w:lang w:eastAsia="ru-RU"/>
              </w:rPr>
              <w:t>4</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34"/>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Продовжити залучення досвідчених працівників, майстрів – ветеранів до процесу </w:t>
            </w:r>
            <w:r w:rsidRPr="005B262A">
              <w:rPr>
                <w:rFonts w:ascii="Times New Roman" w:eastAsia="Times New Roman" w:hAnsi="Times New Roman" w:cs="Times New Roman"/>
                <w:color w:val="4A4A4A"/>
                <w:lang w:val="uk-UA" w:eastAsia="ru-RU"/>
              </w:rPr>
              <w:lastRenderedPageBreak/>
              <w:t>професійного навчання безробітних, стажування на виробництві з метою підвищення соціального статусу робітників і популяризації профільних робочих професій</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Підприємства, установи, </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 xml:space="preserve">організації (за </w:t>
            </w:r>
            <w:r w:rsidRPr="005B262A">
              <w:rPr>
                <w:rFonts w:ascii="Times New Roman" w:eastAsia="Times New Roman" w:hAnsi="Times New Roman" w:cs="Times New Roman"/>
                <w:color w:val="4A4A4A"/>
                <w:lang w:val="uk-UA" w:eastAsia="ru-RU"/>
              </w:rPr>
              <w:lastRenderedPageBreak/>
              <w:t>згодою)</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1270"/>
        </w:trPr>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lastRenderedPageBreak/>
              <w:t>2.5</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34"/>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Відповідно до потреби сучасного виробництва постійно підвищувати якість професійної підготовки за рахунок використання новітньої техніки та технології використання інноваційних технологій, навчання та підвищення рівня кваліфікації педпрацівників</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ПТНЗ</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1118"/>
        </w:trPr>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2.7</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Відкрити нові сучасні професії, курси підготовки та перепідготовки, підвищення кваліфікації, які відповідають профілю навчального закладу та на основі аналізу ЦЗ про потреби ринку праці</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ПТНЗ</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837"/>
        </w:trPr>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2.8</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Здійснювати підготовку кваліфікованих кадрів на підставі договорів укладених з підприємствами замовниками і потребами ринку праці в місті та регіоні</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ПТНЗ, підприємства</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848"/>
        </w:trPr>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2.9</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Проводити профорієнтаційні заходи для популяризації робітничих професій, які користуються попитом на ринку праці, але вважаються не престижними</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ПТНЗ, міський центр зайнятості</w:t>
            </w:r>
          </w:p>
          <w:p w:rsidR="005B262A" w:rsidRPr="005B262A" w:rsidRDefault="005B262A" w:rsidP="005B262A">
            <w:pPr>
              <w:spacing w:after="180" w:line="360" w:lineRule="atLeast"/>
              <w:ind w:left="93"/>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2.10</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Технологічним інститутом СНУ ім. В. Даля заплановано на договірній основі з підприємствами міста проводити курс «Сучасна англійська мова», розроблений Оксфордським університетом. На 2013-2014 р.р. будуть проведені заняття за цим курсом для групи з 45 працівників ПрАТ «СНВО</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eastAsia="ru-RU"/>
              </w:rPr>
              <w:t>«</w:t>
            </w:r>
            <w:r w:rsidRPr="005B262A">
              <w:rPr>
                <w:rFonts w:ascii="Times New Roman" w:eastAsia="Times New Roman" w:hAnsi="Times New Roman" w:cs="Times New Roman"/>
                <w:color w:val="4A4A4A"/>
                <w:lang w:val="uk-UA" w:eastAsia="ru-RU"/>
              </w:rPr>
              <w:t>Імпульс</w:t>
            </w:r>
            <w:r w:rsidRPr="005B262A">
              <w:rPr>
                <w:rFonts w:ascii="Times New Roman" w:eastAsia="Times New Roman" w:hAnsi="Times New Roman" w:cs="Times New Roman"/>
                <w:color w:val="4A4A4A"/>
                <w:lang w:eastAsia="ru-RU"/>
              </w:rPr>
              <w:t>»</w:t>
            </w:r>
            <w:r w:rsidRPr="005B262A">
              <w:rPr>
                <w:rFonts w:ascii="Times New Roman" w:eastAsia="Times New Roman" w:hAnsi="Times New Roman" w:cs="Times New Roman"/>
                <w:color w:val="4A4A4A"/>
                <w:lang w:val="uk-UA" w:eastAsia="ru-RU"/>
              </w:rPr>
              <w:t>протягом 9 місяців. Такі курси англійської мови будуть проводитись для інших підприємств міста.</w:t>
            </w:r>
          </w:p>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Паралельно з цим, щовесни і щоосені будуть проводитись курси англійської мови для </w:t>
            </w:r>
            <w:r w:rsidRPr="005B262A">
              <w:rPr>
                <w:rFonts w:ascii="Times New Roman" w:eastAsia="Times New Roman" w:hAnsi="Times New Roman" w:cs="Times New Roman"/>
                <w:color w:val="4A4A4A"/>
                <w:lang w:val="uk-UA" w:eastAsia="ru-RU"/>
              </w:rPr>
              <w:lastRenderedPageBreak/>
              <w:t>населення міста.</w:t>
            </w:r>
          </w:p>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Щорічно будуть проводитись курси з інформаційних технологій: «Комп'ютерна графіка», «Програмування на алгоритмічних мовах», «Основи роботи на комп’ютері» та інші.</w:t>
            </w:r>
          </w:p>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Продовжать працювати щорічні курси з підготовки до зовнішнього незалежного оцінювання (ЗНО). На курсах щорічно проходять підготовку від 60 до 85 осіб.</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Технологічний</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інститут СНУ ім. В.Даля</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2013-2017</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417"/>
        </w:trPr>
        <w:tc>
          <w:tcPr>
            <w:tcW w:w="10313" w:type="dxa"/>
            <w:gridSpan w:val="4"/>
            <w:tcBorders>
              <w:top w:val="nil"/>
              <w:left w:val="single" w:sz="8" w:space="0" w:color="000000"/>
              <w:bottom w:val="single" w:sz="8" w:space="0" w:color="000000"/>
              <w:right w:val="nil"/>
            </w:tcBorders>
            <w:shd w:val="clear" w:color="auto" w:fill="FFFFFF"/>
            <w:vAlign w:val="cente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lastRenderedPageBreak/>
              <w:t>3. Підвищення мобільності робочої сили на ринку праці та удосконалення регулювання трудової міграції</w:t>
            </w:r>
          </w:p>
        </w:tc>
        <w:tc>
          <w:tcPr>
            <w:tcW w:w="40" w:type="dxa"/>
            <w:gridSpan w:val="2"/>
            <w:tcBorders>
              <w:top w:val="nil"/>
              <w:left w:val="single" w:sz="8" w:space="0" w:color="000000"/>
              <w:bottom w:val="nil"/>
              <w:right w:val="nil"/>
            </w:tcBorders>
            <w:shd w:val="clear" w:color="auto" w:fill="FFFFFF"/>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1969"/>
        </w:trPr>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w:t>
            </w:r>
            <w:r w:rsidRPr="005B262A">
              <w:rPr>
                <w:rFonts w:ascii="Times New Roman" w:eastAsia="Times New Roman" w:hAnsi="Times New Roman" w:cs="Times New Roman"/>
                <w:color w:val="4A4A4A"/>
                <w:lang w:eastAsia="ru-RU"/>
              </w:rPr>
              <w:t>1</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Надання інформації роботодавцям щодо порядку використання праці іноземців та осіб без громадянства, та</w:t>
            </w:r>
            <w:r w:rsidRPr="00585C73">
              <w:rPr>
                <w:rFonts w:ascii="Times New Roman" w:eastAsia="Times New Roman" w:hAnsi="Times New Roman" w:cs="Times New Roman"/>
                <w:color w:val="000000"/>
                <w:lang w:val="uk-UA" w:eastAsia="ru-RU"/>
              </w:rPr>
              <w:t> </w:t>
            </w:r>
            <w:r w:rsidRPr="005B262A">
              <w:rPr>
                <w:rFonts w:ascii="Times New Roman" w:eastAsia="Times New Roman" w:hAnsi="Times New Roman" w:cs="Times New Roman"/>
                <w:color w:val="000000"/>
                <w:lang w:val="uk-UA" w:eastAsia="ru-RU"/>
              </w:rPr>
              <w:t>консультації роботодавцям </w:t>
            </w:r>
            <w:r w:rsidRPr="00585C73">
              <w:rPr>
                <w:rFonts w:ascii="Times New Roman" w:eastAsia="Times New Roman" w:hAnsi="Times New Roman" w:cs="Times New Roman"/>
                <w:color w:val="000000"/>
                <w:lang w:val="uk-UA" w:eastAsia="ru-RU"/>
              </w:rPr>
              <w:t> </w:t>
            </w:r>
            <w:r w:rsidRPr="005B262A">
              <w:rPr>
                <w:rFonts w:ascii="Times New Roman" w:eastAsia="Times New Roman" w:hAnsi="Times New Roman" w:cs="Times New Roman"/>
                <w:color w:val="000000"/>
                <w:lang w:val="uk-UA" w:eastAsia="ru-RU"/>
              </w:rPr>
              <w:t>з підготовки документів для отримання дозволу на працевлаштування іноземців, які необхідно надавати на засідання комісії Луганського обласного центру зайнятості з видачі, продовження строку дії та анулювання дозволів на використання праці іноземців та осіб без громадянства</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 УПтаСЗН</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834"/>
        </w:trPr>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Проведення інформаційних семінарів для безробітних громадян стосовно легального працевлаштування, в тому числі за кордоном</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900"/>
        </w:trPr>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3.</w:t>
            </w:r>
            <w:r w:rsidRPr="005B262A">
              <w:rPr>
                <w:rFonts w:ascii="Times New Roman" w:eastAsia="Times New Roman" w:hAnsi="Times New Roman" w:cs="Times New Roman"/>
                <w:color w:val="4A4A4A"/>
                <w:lang w:eastAsia="ru-RU"/>
              </w:rPr>
              <w:t>3</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Проводити профорієнтаційну роботу з учнівською молоддю з метою мотивації її на вибір та оволодіння робітничими професіями</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 відділ освіти, ПТНЗ</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rPr>
          <w:trHeight w:val="978"/>
        </w:trPr>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3.4</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Проводити роз’яснення чинного законодавства щодо видачі, продовження строку дії та анулювання дозволів на використання праці іноземців у засобах масової інформації.</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108"/>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УПтаСЗН, міський центр зайнятості</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2013-2017</w:t>
            </w:r>
          </w:p>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роки</w:t>
            </w:r>
          </w:p>
        </w:tc>
        <w:tc>
          <w:tcPr>
            <w:tcW w:w="12" w:type="dxa"/>
            <w:tcBorders>
              <w:top w:val="nil"/>
              <w:left w:val="nil"/>
              <w:bottom w:val="single" w:sz="8" w:space="0" w:color="000000"/>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10353"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 </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lastRenderedPageBreak/>
              <w:t>4.Сприяння зайнятості громадян,</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які потребують соціального захисту і не здатні на рівних умовах конкурувати на ринку праці</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lastRenderedPageBreak/>
              <w:t>4</w:t>
            </w:r>
            <w:r w:rsidRPr="005B262A">
              <w:rPr>
                <w:rFonts w:ascii="Times New Roman" w:eastAsia="Times New Roman" w:hAnsi="Times New Roman" w:cs="Times New Roman"/>
                <w:color w:val="4A4A4A"/>
                <w:lang w:val="uk-UA" w:eastAsia="ru-RU"/>
              </w:rPr>
              <w:t>.1</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34"/>
              <w:rPr>
                <w:rFonts w:ascii="Tahoma" w:eastAsia="Times New Roman" w:hAnsi="Tahoma" w:cs="Tahoma"/>
                <w:color w:val="4A4A4A"/>
                <w:lang w:eastAsia="ru-RU"/>
              </w:rPr>
            </w:pPr>
            <w:r w:rsidRPr="005B262A">
              <w:rPr>
                <w:rFonts w:ascii="Tahoma" w:eastAsia="Times New Roman" w:hAnsi="Tahoma" w:cs="Tahoma"/>
                <w:color w:val="4A4A4A"/>
                <w:lang w:val="uk-UA" w:eastAsia="ru-RU"/>
              </w:rPr>
              <w:t>Для заповнення самостійно розрахованих квотних місць надавати допомогу роботодавцям у підборі необхідних кадрів з числа громадян, які на ринку праці недостатньо конкурентоспроможні. Розробляти та проводити масові заходи щодо підвищення ефективності їх використання.</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 міська рада,</w:t>
            </w:r>
          </w:p>
          <w:p w:rsidR="005B262A" w:rsidRPr="005B262A" w:rsidRDefault="005B262A" w:rsidP="005B262A">
            <w:pPr>
              <w:spacing w:after="180" w:line="360" w:lineRule="atLeast"/>
              <w:ind w:right="-108"/>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підприємства, установи, організації </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p>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4</w:t>
            </w:r>
            <w:r w:rsidRPr="005B262A">
              <w:rPr>
                <w:rFonts w:ascii="Times New Roman" w:eastAsia="Times New Roman" w:hAnsi="Times New Roman" w:cs="Times New Roman"/>
                <w:color w:val="4A4A4A"/>
                <w:lang w:val="uk-UA" w:eastAsia="ru-RU"/>
              </w:rPr>
              <w:t>.2</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line="360" w:lineRule="atLeast"/>
              <w:ind w:hanging="24"/>
              <w:rPr>
                <w:rFonts w:ascii="Tahoma" w:eastAsia="Times New Roman" w:hAnsi="Tahoma" w:cs="Tahoma"/>
                <w:color w:val="4A4A4A"/>
                <w:lang w:eastAsia="ru-RU"/>
              </w:rPr>
            </w:pPr>
            <w:r w:rsidRPr="005B262A">
              <w:rPr>
                <w:rFonts w:ascii="Tahoma" w:eastAsia="Times New Roman" w:hAnsi="Tahoma" w:cs="Tahoma"/>
                <w:color w:val="4A4A4A"/>
                <w:lang w:val="uk-UA" w:eastAsia="ru-RU"/>
              </w:rPr>
              <w:t>Вирішувати питання працевлаштування соціально незахищених громадян шляхом компенсації роботодавцю єдиного</w:t>
            </w:r>
            <w:r w:rsidRPr="00585C73">
              <w:rPr>
                <w:rFonts w:ascii="Tahoma" w:eastAsia="Times New Roman" w:hAnsi="Tahoma" w:cs="Tahoma"/>
                <w:color w:val="4A4A4A"/>
                <w:lang w:val="uk-UA" w:eastAsia="ru-RU"/>
              </w:rPr>
              <w:t> </w:t>
            </w:r>
            <w:r w:rsidRPr="005B262A">
              <w:rPr>
                <w:rFonts w:ascii="Tahoma" w:eastAsia="Times New Roman" w:hAnsi="Tahoma" w:cs="Tahoma"/>
                <w:color w:val="4A4A4A"/>
                <w:lang w:eastAsia="ru-RU"/>
              </w:rPr>
              <w:t>внеску на загальнообов'язкове державне соціальне страхування</w:t>
            </w:r>
            <w:r w:rsidRPr="005B262A">
              <w:rPr>
                <w:rFonts w:ascii="Tahoma" w:eastAsia="Times New Roman" w:hAnsi="Tahoma" w:cs="Tahoma"/>
                <w:color w:val="4A4A4A"/>
                <w:lang w:val="uk-UA" w:eastAsia="ru-RU"/>
              </w:rPr>
              <w:t>.</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 підприємства, установи, організації</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p>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4</w:t>
            </w:r>
            <w:r w:rsidRPr="005B262A">
              <w:rPr>
                <w:rFonts w:ascii="Times New Roman" w:eastAsia="Times New Roman" w:hAnsi="Times New Roman" w:cs="Times New Roman"/>
                <w:color w:val="4A4A4A"/>
                <w:lang w:val="uk-UA" w:eastAsia="ru-RU"/>
              </w:rPr>
              <w:t>.3</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Забезпечити інформаційну підтримку сприяння зайнятості осіб з обмеженими фізичними можливостями, зокрема шляхом використання систематичного обміну базами даних професійно-кваліфікаційних характеристик інвалідів, які бажають працювати, між Управлінням праці та соціального захисту населення, центрами зайнятості, громадською організацією інвалідів «Надія»</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 УПтаСЗН, громадська організація інвалідів «Надія»</w:t>
            </w:r>
          </w:p>
          <w:p w:rsidR="005B262A" w:rsidRPr="005B262A" w:rsidRDefault="005B262A" w:rsidP="005B262A">
            <w:pPr>
              <w:spacing w:after="180" w:line="360" w:lineRule="atLeast"/>
              <w:ind w:right="-108"/>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p>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4</w:t>
            </w:r>
            <w:r w:rsidRPr="005B262A">
              <w:rPr>
                <w:rFonts w:ascii="Times New Roman" w:eastAsia="Times New Roman" w:hAnsi="Times New Roman" w:cs="Times New Roman"/>
                <w:color w:val="4A4A4A"/>
                <w:lang w:val="uk-UA" w:eastAsia="ru-RU"/>
              </w:rPr>
              <w:t>.4</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Проводити ярмарки вакансій для осіб з обмеженими фізичними можливостями, співпрацюючи з роботодавцями щодо створення спеціальних робочих місць для працевлаштування інвалідів, у тому числі, зареєстрованих в державній службі зайнятості, в обсягах відповідно до потреб міста</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 УПтаСЗН, МСЕК, підприємства, установи, організації</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p>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4</w:t>
            </w:r>
            <w:r w:rsidRPr="005B262A">
              <w:rPr>
                <w:rFonts w:ascii="Times New Roman" w:eastAsia="Times New Roman" w:hAnsi="Times New Roman" w:cs="Times New Roman"/>
                <w:color w:val="4A4A4A"/>
                <w:lang w:val="uk-UA" w:eastAsia="ru-RU"/>
              </w:rPr>
              <w:t>.5</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Співпрацювати з Сєвєродонецьким МСЕК, </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 xml:space="preserve">щодо удосконалення програм </w:t>
            </w:r>
            <w:r w:rsidRPr="005B262A">
              <w:rPr>
                <w:rFonts w:ascii="Times New Roman" w:eastAsia="Times New Roman" w:hAnsi="Times New Roman" w:cs="Times New Roman"/>
                <w:color w:val="4A4A4A"/>
                <w:lang w:val="uk-UA" w:eastAsia="ru-RU"/>
              </w:rPr>
              <w:lastRenderedPageBreak/>
              <w:t>професійно–трудової реабілітації інвалідів для забезпечення працевлаштування та професійного навчання інвалідів відповідно до потреб та попиту на робочу силу міста</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 xml:space="preserve">Міський центр зайнятості, УПтаСЗН, </w:t>
            </w:r>
            <w:r w:rsidRPr="005B262A">
              <w:rPr>
                <w:rFonts w:ascii="Times New Roman" w:eastAsia="Times New Roman" w:hAnsi="Times New Roman" w:cs="Times New Roman"/>
                <w:color w:val="4A4A4A"/>
                <w:lang w:val="uk-UA" w:eastAsia="ru-RU"/>
              </w:rPr>
              <w:lastRenderedPageBreak/>
              <w:t>МСЕК</w:t>
            </w:r>
          </w:p>
          <w:p w:rsidR="005B262A" w:rsidRPr="005B262A" w:rsidRDefault="005B262A" w:rsidP="005B262A">
            <w:pPr>
              <w:spacing w:after="180" w:line="360" w:lineRule="atLeast"/>
              <w:ind w:right="-108"/>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w:t>
            </w:r>
            <w:r w:rsidRPr="005B262A">
              <w:rPr>
                <w:rFonts w:ascii="Times New Roman" w:eastAsia="Times New Roman" w:hAnsi="Times New Roman" w:cs="Times New Roman"/>
                <w:color w:val="4A4A4A"/>
                <w:lang w:val="uk-UA" w:eastAsia="ru-RU"/>
              </w:rPr>
              <w:lastRenderedPageBreak/>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lastRenderedPageBreak/>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eastAsia="ru-RU"/>
              </w:rPr>
              <w:lastRenderedPageBreak/>
              <w:t>4</w:t>
            </w:r>
            <w:r w:rsidRPr="005B262A">
              <w:rPr>
                <w:rFonts w:ascii="Times New Roman" w:eastAsia="Times New Roman" w:hAnsi="Times New Roman" w:cs="Times New Roman"/>
                <w:b/>
                <w:bCs/>
                <w:color w:val="4A4A4A"/>
                <w:lang w:val="uk-UA" w:eastAsia="ru-RU"/>
              </w:rPr>
              <w:t>.6</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34"/>
              <w:rPr>
                <w:rFonts w:ascii="Tahoma" w:eastAsia="Times New Roman" w:hAnsi="Tahoma" w:cs="Tahoma"/>
                <w:color w:val="4A4A4A"/>
                <w:lang w:eastAsia="ru-RU"/>
              </w:rPr>
            </w:pPr>
            <w:r w:rsidRPr="005B262A">
              <w:rPr>
                <w:rFonts w:ascii="Tahoma" w:eastAsia="Times New Roman" w:hAnsi="Tahoma" w:cs="Tahoma"/>
                <w:color w:val="4A4A4A"/>
                <w:lang w:val="uk-UA" w:eastAsia="ru-RU"/>
              </w:rPr>
              <w:t>Забезпечити надання профорієнтаційних послуг інвалідам з метою прискорення їх адаптації до умов ринку праці та професійної інтеграції у суспільство</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p w:rsidR="005B262A" w:rsidRPr="005B262A" w:rsidRDefault="005B262A" w:rsidP="005B262A">
            <w:pPr>
              <w:spacing w:after="180" w:line="360" w:lineRule="atLeast"/>
              <w:ind w:right="-108"/>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p>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роки</w:t>
            </w:r>
          </w:p>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eastAsia="ru-RU"/>
              </w:rPr>
              <w:t>4</w:t>
            </w:r>
            <w:r w:rsidRPr="005B262A">
              <w:rPr>
                <w:rFonts w:ascii="Times New Roman" w:eastAsia="Times New Roman" w:hAnsi="Times New Roman" w:cs="Times New Roman"/>
                <w:b/>
                <w:bCs/>
                <w:color w:val="4A4A4A"/>
                <w:lang w:val="uk-UA" w:eastAsia="ru-RU"/>
              </w:rPr>
              <w:t>.8</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34"/>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Надавати профорієнтаційні послуги соціально незахищеним категоріям населення з метою підвищення їх конкурентоспроможності на ринку праці:</w:t>
            </w:r>
          </w:p>
        </w:tc>
        <w:tc>
          <w:tcPr>
            <w:tcW w:w="2416"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108"/>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Відділ освіти,</w:t>
            </w:r>
          </w:p>
          <w:p w:rsidR="005B262A" w:rsidRPr="005B262A" w:rsidRDefault="005B262A" w:rsidP="005B262A">
            <w:pPr>
              <w:spacing w:after="180" w:line="360" w:lineRule="atLeast"/>
              <w:ind w:left="39"/>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w:t>
            </w:r>
          </w:p>
          <w:p w:rsidR="005B262A" w:rsidRPr="005B262A" w:rsidRDefault="005B262A" w:rsidP="005B262A">
            <w:pPr>
              <w:spacing w:after="180" w:line="360" w:lineRule="atLeast"/>
              <w:ind w:right="-108"/>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w:t>
            </w:r>
          </w:p>
        </w:tc>
        <w:tc>
          <w:tcPr>
            <w:tcW w:w="1617" w:type="dxa"/>
            <w:gridSpan w:val="2"/>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4</w:t>
            </w:r>
            <w:r w:rsidRPr="005B262A">
              <w:rPr>
                <w:rFonts w:ascii="Times New Roman" w:eastAsia="Times New Roman" w:hAnsi="Times New Roman" w:cs="Times New Roman"/>
                <w:color w:val="4A4A4A"/>
                <w:lang w:val="uk-UA" w:eastAsia="ru-RU"/>
              </w:rPr>
              <w:t>.8.1</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34"/>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Проводити тематичні семінари для цільових груп населення, в т. ч. із залученням зацікавлених організацій</w:t>
            </w:r>
          </w:p>
        </w:tc>
        <w:tc>
          <w:tcPr>
            <w:tcW w:w="0" w:type="auto"/>
            <w:vMerge/>
            <w:tcBorders>
              <w:top w:val="nil"/>
              <w:left w:val="single" w:sz="8" w:space="0" w:color="000000"/>
              <w:bottom w:val="single" w:sz="8" w:space="0" w:color="000000"/>
              <w:right w:val="nil"/>
            </w:tcBorders>
            <w:shd w:val="clear" w:color="auto" w:fill="FFFFFF"/>
            <w:vAlign w:val="center"/>
            <w:hideMark/>
          </w:tcPr>
          <w:p w:rsidR="005B262A" w:rsidRPr="005B262A" w:rsidRDefault="005B262A" w:rsidP="005B262A">
            <w:pPr>
              <w:rPr>
                <w:rFonts w:ascii="Times New Roman" w:eastAsia="Times New Roman" w:hAnsi="Times New Roman" w:cs="Times New Roman"/>
                <w:color w:val="4A4A4A"/>
                <w:lang w:eastAsia="ru-RU"/>
              </w:rPr>
            </w:pPr>
          </w:p>
        </w:tc>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5B262A" w:rsidRPr="005B262A" w:rsidRDefault="005B262A" w:rsidP="005B262A">
            <w:pPr>
              <w:rPr>
                <w:rFonts w:ascii="Times New Roman" w:eastAsia="Times New Roman" w:hAnsi="Times New Roman" w:cs="Times New Roman"/>
                <w:color w:val="4A4A4A"/>
                <w:lang w:eastAsia="ru-RU"/>
              </w:rPr>
            </w:pP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4</w:t>
            </w:r>
            <w:r w:rsidRPr="005B262A">
              <w:rPr>
                <w:rFonts w:ascii="Times New Roman" w:eastAsia="Times New Roman" w:hAnsi="Times New Roman" w:cs="Times New Roman"/>
                <w:color w:val="4A4A4A"/>
                <w:lang w:val="uk-UA" w:eastAsia="ru-RU"/>
              </w:rPr>
              <w:t>.8.2</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34"/>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Надавати індивідуальні професійні та психологічні консультації, в т. ч. із залученням спеціалістів зацікавлених організацій</w:t>
            </w:r>
          </w:p>
        </w:tc>
        <w:tc>
          <w:tcPr>
            <w:tcW w:w="0" w:type="auto"/>
            <w:vMerge/>
            <w:tcBorders>
              <w:top w:val="nil"/>
              <w:left w:val="single" w:sz="8" w:space="0" w:color="000000"/>
              <w:bottom w:val="single" w:sz="8" w:space="0" w:color="000000"/>
              <w:right w:val="nil"/>
            </w:tcBorders>
            <w:shd w:val="clear" w:color="auto" w:fill="FFFFFF"/>
            <w:vAlign w:val="center"/>
            <w:hideMark/>
          </w:tcPr>
          <w:p w:rsidR="005B262A" w:rsidRPr="005B262A" w:rsidRDefault="005B262A" w:rsidP="005B262A">
            <w:pPr>
              <w:rPr>
                <w:rFonts w:ascii="Times New Roman" w:eastAsia="Times New Roman" w:hAnsi="Times New Roman" w:cs="Times New Roman"/>
                <w:color w:val="4A4A4A"/>
                <w:lang w:eastAsia="ru-RU"/>
              </w:rPr>
            </w:pPr>
          </w:p>
        </w:tc>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5B262A" w:rsidRPr="005B262A" w:rsidRDefault="005B262A" w:rsidP="005B262A">
            <w:pPr>
              <w:rPr>
                <w:rFonts w:ascii="Times New Roman" w:eastAsia="Times New Roman" w:hAnsi="Times New Roman" w:cs="Times New Roman"/>
                <w:color w:val="4A4A4A"/>
                <w:lang w:eastAsia="ru-RU"/>
              </w:rPr>
            </w:pP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4</w:t>
            </w:r>
            <w:r w:rsidRPr="005B262A">
              <w:rPr>
                <w:rFonts w:ascii="Times New Roman" w:eastAsia="Times New Roman" w:hAnsi="Times New Roman" w:cs="Times New Roman"/>
                <w:color w:val="4A4A4A"/>
                <w:lang w:val="uk-UA" w:eastAsia="ru-RU"/>
              </w:rPr>
              <w:t>.8.3</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34"/>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Забезпечити діяльність гендерних центрів та класів, проведення семінарів з техніки пошуку роботи, презентацій курсів профнавчання, професій, тренінгів-семінарів, основ комп’ютерної грамотності, із загальних питань зайнятості та стану ринку праці</w:t>
            </w:r>
          </w:p>
        </w:tc>
        <w:tc>
          <w:tcPr>
            <w:tcW w:w="0" w:type="auto"/>
            <w:vMerge/>
            <w:tcBorders>
              <w:top w:val="nil"/>
              <w:left w:val="single" w:sz="8" w:space="0" w:color="000000"/>
              <w:bottom w:val="single" w:sz="8" w:space="0" w:color="000000"/>
              <w:right w:val="nil"/>
            </w:tcBorders>
            <w:shd w:val="clear" w:color="auto" w:fill="FFFFFF"/>
            <w:vAlign w:val="center"/>
            <w:hideMark/>
          </w:tcPr>
          <w:p w:rsidR="005B262A" w:rsidRPr="005B262A" w:rsidRDefault="005B262A" w:rsidP="005B262A">
            <w:pPr>
              <w:rPr>
                <w:rFonts w:ascii="Times New Roman" w:eastAsia="Times New Roman" w:hAnsi="Times New Roman" w:cs="Times New Roman"/>
                <w:color w:val="4A4A4A"/>
                <w:lang w:eastAsia="ru-RU"/>
              </w:rPr>
            </w:pPr>
          </w:p>
        </w:tc>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5B262A" w:rsidRPr="005B262A" w:rsidRDefault="005B262A" w:rsidP="005B262A">
            <w:pPr>
              <w:rPr>
                <w:rFonts w:ascii="Times New Roman" w:eastAsia="Times New Roman" w:hAnsi="Times New Roman" w:cs="Times New Roman"/>
                <w:color w:val="4A4A4A"/>
                <w:lang w:eastAsia="ru-RU"/>
              </w:rPr>
            </w:pP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eastAsia="ru-RU"/>
              </w:rPr>
              <w:t>4</w:t>
            </w:r>
            <w:r w:rsidRPr="005B262A">
              <w:rPr>
                <w:rFonts w:ascii="Times New Roman" w:eastAsia="Times New Roman" w:hAnsi="Times New Roman" w:cs="Times New Roman"/>
                <w:b/>
                <w:bCs/>
                <w:color w:val="4A4A4A"/>
                <w:lang w:val="uk-UA" w:eastAsia="ru-RU"/>
              </w:rPr>
              <w:t>.9</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val="uk-UA" w:eastAsia="ru-RU"/>
              </w:rPr>
              <w:t> </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34"/>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Проводити організаційні заходи сприяння діяльності молодіжних трудових загонів.</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108"/>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Відділ у справах сім’ї, молоді та спорту, відділ освіти, ПТНЗ, ВНЗ</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3</w:t>
            </w:r>
            <w:r w:rsidRPr="005B262A">
              <w:rPr>
                <w:rFonts w:ascii="Times New Roman" w:eastAsia="Times New Roman" w:hAnsi="Times New Roman" w:cs="Times New Roman"/>
                <w:color w:val="4A4A4A"/>
                <w:lang w:val="uk-UA" w:eastAsia="ru-RU"/>
              </w:rPr>
              <w:t>-201</w:t>
            </w:r>
            <w:r w:rsidRPr="005B262A">
              <w:rPr>
                <w:rFonts w:ascii="Times New Roman" w:eastAsia="Times New Roman" w:hAnsi="Times New Roman" w:cs="Times New Roman"/>
                <w:color w:val="4A4A4A"/>
                <w:lang w:eastAsia="ru-RU"/>
              </w:rPr>
              <w:t>7</w:t>
            </w:r>
          </w:p>
          <w:p w:rsidR="005B262A" w:rsidRPr="005B262A" w:rsidRDefault="005B262A" w:rsidP="005B262A">
            <w:pPr>
              <w:spacing w:after="180" w:line="360" w:lineRule="atLeast"/>
              <w:ind w:right="-108"/>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b/>
                <w:bCs/>
                <w:color w:val="4A4A4A"/>
                <w:lang w:eastAsia="ru-RU"/>
              </w:rPr>
              <w:t>4.11</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 xml:space="preserve">Надавати роботодавцям, що працевлаштовують на нові робочі місця громадян, які недостатньо конкурентоспроможні на ринку праці, та яким надано статус безробітного, компенсації фактичних витрат у розмірі єдиного внеску на загальнообов’язкове </w:t>
            </w:r>
            <w:r w:rsidRPr="005B262A">
              <w:rPr>
                <w:rFonts w:ascii="Times New Roman" w:eastAsia="Times New Roman" w:hAnsi="Times New Roman" w:cs="Times New Roman"/>
                <w:color w:val="4A4A4A"/>
                <w:lang w:val="uk-UA" w:eastAsia="ru-RU"/>
              </w:rPr>
              <w:lastRenderedPageBreak/>
              <w:t>державне соціальне страхування за відповідних осіб</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lastRenderedPageBreak/>
              <w:t>Міський центр зайнятості</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2013</w:t>
            </w:r>
            <w:r w:rsidRPr="00585C73">
              <w:rPr>
                <w:rFonts w:ascii="Times New Roman" w:eastAsia="Times New Roman" w:hAnsi="Times New Roman" w:cs="Times New Roman"/>
                <w:color w:val="4A4A4A"/>
                <w:lang w:val="uk-UA" w:eastAsia="ru-RU"/>
              </w:rPr>
              <w:t> </w:t>
            </w:r>
            <w:r w:rsidRPr="005B262A">
              <w:rPr>
                <w:rFonts w:ascii="Times New Roman" w:eastAsia="Times New Roman" w:hAnsi="Times New Roman" w:cs="Times New Roman"/>
                <w:color w:val="4A4A4A"/>
                <w:lang w:val="uk-UA" w:eastAsia="ru-RU"/>
              </w:rPr>
              <w:t>– 2017 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lastRenderedPageBreak/>
              <w:t>4.12</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Інформувати незайнятих громадян про наявність робочих місць для інвалідів, організація ярмарків та міні-ярмарків вакансій для інвалідів</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 УПтаСЗН, підприємства, установи та організації</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4.13</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Забезпечити в межах повноважень всебічне сприяння працевлаштуванню:</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осіб з інвалідністю,</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дітей-сиріт та дітей, позбавлених батьківського піклування,</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неповнолітньої молоді,</w:t>
            </w:r>
          </w:p>
          <w:p w:rsidR="005B262A" w:rsidRPr="005B262A" w:rsidRDefault="005B262A" w:rsidP="005B262A">
            <w:pPr>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val="uk-UA" w:eastAsia="ru-RU"/>
              </w:rPr>
              <w:t>- звільнених із місць позбавлення волі</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Міський центр зайнятості, УПтаСЗН, служба у справах дітей, відділ освіти, відділ сім’ї, молоді та спорту, підприємства, установи, організації, ПТНЗ</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 – 2017 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r w:rsidR="005B262A" w:rsidRPr="005B262A" w:rsidTr="005B262A">
        <w:tc>
          <w:tcPr>
            <w:tcW w:w="7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4.14</w:t>
            </w:r>
          </w:p>
        </w:tc>
        <w:tc>
          <w:tcPr>
            <w:tcW w:w="56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ind w:hanging="24"/>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В період з 2014 по 2017 в Технологічному інституті СНУ ім. В.Даля планується провести ліцензування дистанційної форми навчання за спеціальностями, пов’язаними з інформаційними технологіями. Це дасть змогу підвищувати свій професійний рівень тій категорії населення, що з якихось причин не може вчитись за денною і заочною формою: жінки, що у відпустках по догляду за дитиною; інваліди; військовослужбовці та інші. Для реалізації технології дистанційного навчання в інституті створено і діє Центр електронних навчальних матеріалів, доступ до якого здійснюється через Інтернет і розміщені методичні матеріали до 377 дисциплін. Заняття будуть проводитись як в режимі телеконференцій, так і через форуми, чати, з використанням інтерактивних навчальних комплексів.</w:t>
            </w:r>
          </w:p>
          <w:p w:rsidR="005B262A" w:rsidRPr="005B262A" w:rsidRDefault="005B262A" w:rsidP="005B262A">
            <w:pPr>
              <w:spacing w:after="180" w:line="360" w:lineRule="atLeast"/>
              <w:jc w:val="both"/>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Ліцензування надасть право видавати дипломи державного зразку тим, хто навчався дистанційно.</w:t>
            </w:r>
          </w:p>
        </w:tc>
        <w:tc>
          <w:tcPr>
            <w:tcW w:w="24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Технологічний</w:t>
            </w:r>
          </w:p>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інститут СНУ ім. В.Даля</w:t>
            </w:r>
          </w:p>
        </w:tc>
        <w:tc>
          <w:tcPr>
            <w:tcW w:w="161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2013-2017</w:t>
            </w:r>
          </w:p>
          <w:p w:rsidR="005B262A" w:rsidRPr="005B262A" w:rsidRDefault="005B262A" w:rsidP="005B262A">
            <w:pPr>
              <w:spacing w:after="180" w:line="360" w:lineRule="atLeast"/>
              <w:jc w:val="center"/>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val="uk-UA" w:eastAsia="ru-RU"/>
              </w:rPr>
              <w:t>роки</w:t>
            </w:r>
          </w:p>
        </w:tc>
        <w:tc>
          <w:tcPr>
            <w:tcW w:w="12" w:type="dxa"/>
            <w:tcBorders>
              <w:top w:val="nil"/>
              <w:left w:val="nil"/>
              <w:bottom w:val="nil"/>
              <w:right w:val="nil"/>
            </w:tcBorders>
            <w:shd w:val="clear" w:color="auto" w:fill="FFFFFF"/>
            <w:vAlign w:val="center"/>
            <w:hideMark/>
          </w:tcPr>
          <w:p w:rsidR="005B262A" w:rsidRPr="005B262A" w:rsidRDefault="005B262A" w:rsidP="005B262A">
            <w:pPr>
              <w:spacing w:after="180" w:line="360" w:lineRule="atLeast"/>
              <w:rPr>
                <w:rFonts w:ascii="Times New Roman" w:eastAsia="Times New Roman" w:hAnsi="Times New Roman" w:cs="Times New Roman"/>
                <w:color w:val="4A4A4A"/>
                <w:lang w:eastAsia="ru-RU"/>
              </w:rPr>
            </w:pPr>
            <w:r w:rsidRPr="005B262A">
              <w:rPr>
                <w:rFonts w:ascii="Times New Roman" w:eastAsia="Times New Roman" w:hAnsi="Times New Roman" w:cs="Times New Roman"/>
                <w:color w:val="4A4A4A"/>
                <w:lang w:eastAsia="ru-RU"/>
              </w:rPr>
              <w:t> </w:t>
            </w:r>
          </w:p>
        </w:tc>
      </w:tr>
    </w:tbl>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lastRenderedPageBreak/>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85C73">
        <w:rPr>
          <w:rFonts w:ascii="Tahoma" w:eastAsia="Times New Roman" w:hAnsi="Tahoma" w:cs="Tahoma"/>
          <w:b/>
          <w:bCs/>
          <w:color w:val="4A4A4A"/>
          <w:lang w:eastAsia="ru-RU"/>
        </w:rPr>
        <w:t>Секретар міської ради                                                                  А.А.Гавриленко</w:t>
      </w:r>
    </w:p>
    <w:p w:rsidR="005B262A" w:rsidRPr="005B262A" w:rsidRDefault="005B262A" w:rsidP="005B262A">
      <w:pPr>
        <w:shd w:val="clear" w:color="auto" w:fill="FFFFFF"/>
        <w:spacing w:after="180" w:line="360" w:lineRule="atLeast"/>
        <w:rPr>
          <w:rFonts w:ascii="Tahoma" w:eastAsia="Times New Roman" w:hAnsi="Tahoma" w:cs="Tahoma"/>
          <w:color w:val="4A4A4A"/>
          <w:lang w:eastAsia="ru-RU"/>
        </w:rPr>
      </w:pPr>
      <w:r w:rsidRPr="005B262A">
        <w:rPr>
          <w:rFonts w:ascii="Tahoma" w:eastAsia="Times New Roman" w:hAnsi="Tahoma" w:cs="Tahoma"/>
          <w:color w:val="4A4A4A"/>
          <w:lang w:eastAsia="ru-RU"/>
        </w:rPr>
        <w:t> </w:t>
      </w:r>
    </w:p>
    <w:p w:rsidR="00C62C0A" w:rsidRPr="00585C73" w:rsidRDefault="00C62C0A"/>
    <w:sectPr w:rsidR="00C62C0A" w:rsidRPr="00585C73"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5B262A"/>
    <w:rsid w:val="00160EB4"/>
    <w:rsid w:val="00585C73"/>
    <w:rsid w:val="005B262A"/>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5B262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262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B262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5B262A"/>
    <w:rPr>
      <w:b/>
      <w:bCs/>
    </w:rPr>
  </w:style>
  <w:style w:type="character" w:styleId="a5">
    <w:name w:val="Emphasis"/>
    <w:basedOn w:val="a0"/>
    <w:uiPriority w:val="20"/>
    <w:qFormat/>
    <w:rsid w:val="005B262A"/>
    <w:rPr>
      <w:i/>
      <w:iCs/>
    </w:rPr>
  </w:style>
  <w:style w:type="paragraph" w:styleId="a6">
    <w:name w:val="Body Text Indent"/>
    <w:basedOn w:val="a"/>
    <w:link w:val="a7"/>
    <w:uiPriority w:val="99"/>
    <w:unhideWhenUsed/>
    <w:rsid w:val="005B262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5B262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262A"/>
  </w:style>
  <w:style w:type="paragraph" w:customStyle="1" w:styleId="a8">
    <w:name w:val="a"/>
    <w:basedOn w:val="a"/>
    <w:rsid w:val="005B262A"/>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5B262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5B262A"/>
    <w:rPr>
      <w:rFonts w:ascii="Times New Roman" w:eastAsia="Times New Roman" w:hAnsi="Times New Roman" w:cs="Times New Roman"/>
      <w:sz w:val="24"/>
      <w:szCs w:val="24"/>
      <w:lang w:eastAsia="ru-RU"/>
    </w:rPr>
  </w:style>
  <w:style w:type="paragraph" w:customStyle="1" w:styleId="rvps2">
    <w:name w:val="rvps2"/>
    <w:basedOn w:val="a"/>
    <w:rsid w:val="005B262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7127512">
      <w:bodyDiv w:val="1"/>
      <w:marLeft w:val="0"/>
      <w:marRight w:val="0"/>
      <w:marTop w:val="0"/>
      <w:marBottom w:val="0"/>
      <w:divBdr>
        <w:top w:val="none" w:sz="0" w:space="0" w:color="auto"/>
        <w:left w:val="none" w:sz="0" w:space="0" w:color="auto"/>
        <w:bottom w:val="none" w:sz="0" w:space="0" w:color="auto"/>
        <w:right w:val="none" w:sz="0" w:space="0" w:color="auto"/>
      </w:divBdr>
      <w:divsChild>
        <w:div w:id="1582909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7953</Words>
  <Characters>45336</Characters>
  <Application>Microsoft Office Word</Application>
  <DocSecurity>0</DocSecurity>
  <Lines>377</Lines>
  <Paragraphs>106</Paragraphs>
  <ScaleCrop>false</ScaleCrop>
  <Company>Северодонецкие вести</Company>
  <LinksUpToDate>false</LinksUpToDate>
  <CharactersWithSpaces>53183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3</cp:revision>
  <dcterms:created xsi:type="dcterms:W3CDTF">2016-07-11T06:52:00Z</dcterms:created>
  <dcterms:modified xsi:type="dcterms:W3CDTF">2016-07-11T06:52:00Z</dcterms:modified>
</cp:coreProperties>
</file>