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28"/>
          <w:szCs w:val="28"/>
          <w:lang w:val="uk-UA" w:eastAsia="ru-RU"/>
        </w:rPr>
        <w:t>СЄВЄРОДОНЕЦЬКА МІСЬКА РАДА</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28"/>
          <w:szCs w:val="28"/>
          <w:lang w:val="uk-UA" w:eastAsia="ru-RU"/>
        </w:rPr>
        <w:t>ШОСТОГО СКЛИКАННЯ</w:t>
      </w:r>
    </w:p>
    <w:p w:rsidR="00B96B6A" w:rsidRPr="00B96B6A" w:rsidRDefault="00B96B6A" w:rsidP="00B96B6A">
      <w:pPr>
        <w:shd w:val="clear" w:color="auto" w:fill="FFFFFF"/>
        <w:spacing w:before="240"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28"/>
          <w:szCs w:val="28"/>
          <w:lang w:eastAsia="ru-RU"/>
        </w:rPr>
        <w:t>Шістдесят перша</w:t>
      </w:r>
      <w:r w:rsidRPr="00B96B6A">
        <w:rPr>
          <w:rFonts w:ascii="Tahoma" w:eastAsia="Times New Roman" w:hAnsi="Tahoma" w:cs="Tahoma"/>
          <w:b/>
          <w:bCs/>
          <w:color w:val="4A4A4A"/>
          <w:sz w:val="28"/>
          <w:lang w:val="uk-UA" w:eastAsia="ru-RU"/>
        </w:rPr>
        <w:t> </w:t>
      </w:r>
      <w:r w:rsidRPr="00B96B6A">
        <w:rPr>
          <w:rFonts w:ascii="Tahoma" w:eastAsia="Times New Roman" w:hAnsi="Tahoma" w:cs="Tahoma"/>
          <w:b/>
          <w:bCs/>
          <w:color w:val="4A4A4A"/>
          <w:sz w:val="28"/>
          <w:szCs w:val="28"/>
          <w:lang w:val="uk-UA" w:eastAsia="ru-RU"/>
        </w:rPr>
        <w:t>(чергова) сесія</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28"/>
          <w:szCs w:val="28"/>
          <w:lang w:val="uk-UA" w:eastAsia="ru-RU"/>
        </w:rPr>
        <w:t> </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28"/>
          <w:szCs w:val="28"/>
          <w:lang w:val="uk-UA" w:eastAsia="ru-RU"/>
        </w:rPr>
        <w:t>РІШЕННЯ №2626</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color w:val="4A4A4A"/>
          <w:sz w:val="28"/>
          <w:szCs w:val="28"/>
          <w:lang w:val="uk-UA" w:eastAsia="ru-RU"/>
        </w:rPr>
        <w:t> </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eastAsia="ru-RU"/>
        </w:rPr>
        <w:t>“ 30 “ квітня 2013 року</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eastAsia="ru-RU"/>
        </w:rPr>
        <w:t>м.Сєвєродонецьк</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60"/>
        <w:outlineLvl w:val="1"/>
        <w:rPr>
          <w:rFonts w:ascii="Tahoma" w:eastAsia="Times New Roman" w:hAnsi="Tahoma" w:cs="Tahoma"/>
          <w:b/>
          <w:bCs/>
          <w:color w:val="4A4A4A"/>
          <w:sz w:val="31"/>
          <w:szCs w:val="31"/>
          <w:lang w:eastAsia="ru-RU"/>
        </w:rPr>
      </w:pPr>
      <w:r w:rsidRPr="00B96B6A">
        <w:rPr>
          <w:rFonts w:ascii="Tahoma" w:eastAsia="Times New Roman" w:hAnsi="Tahoma" w:cs="Tahoma"/>
          <w:b/>
          <w:bCs/>
          <w:color w:val="4A4A4A"/>
          <w:sz w:val="31"/>
          <w:szCs w:val="31"/>
          <w:lang w:val="uk-UA" w:eastAsia="ru-RU"/>
        </w:rPr>
        <w:t>Про </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val="uk-UA" w:eastAsia="ru-RU"/>
        </w:rPr>
        <w:t>затвердження </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eastAsia="ru-RU"/>
        </w:rPr>
        <w:t> по</w:t>
      </w:r>
      <w:r w:rsidRPr="00B96B6A">
        <w:rPr>
          <w:rFonts w:ascii="Tahoma" w:eastAsia="Times New Roman" w:hAnsi="Tahoma" w:cs="Tahoma"/>
          <w:b/>
          <w:bCs/>
          <w:color w:val="4A4A4A"/>
          <w:sz w:val="31"/>
          <w:szCs w:val="31"/>
          <w:lang w:val="uk-UA" w:eastAsia="ru-RU"/>
        </w:rPr>
        <w:t>рядку</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val="uk-UA" w:eastAsia="ru-RU"/>
        </w:rPr>
        <w:t>готівкового надання пільги на</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val="uk-UA" w:eastAsia="ru-RU"/>
        </w:rPr>
        <w:t>тверде паливо та скраплений газособам, </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val="uk-UA" w:eastAsia="ru-RU"/>
        </w:rPr>
        <w:t>які </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val="uk-UA" w:eastAsia="ru-RU"/>
        </w:rPr>
        <w:t>мають на це право</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val="uk-UA" w:eastAsia="ru-RU"/>
        </w:rPr>
        <w:t>згідно </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val="uk-UA" w:eastAsia="ru-RU"/>
        </w:rPr>
        <w:t>з діючим </w:t>
      </w:r>
      <w:r w:rsidRPr="00B96B6A">
        <w:rPr>
          <w:rFonts w:ascii="Tahoma" w:eastAsia="Times New Roman" w:hAnsi="Tahoma" w:cs="Tahoma"/>
          <w:b/>
          <w:bCs/>
          <w:color w:val="4A4A4A"/>
          <w:sz w:val="31"/>
          <w:lang w:val="uk-UA" w:eastAsia="ru-RU"/>
        </w:rPr>
        <w:t> </w:t>
      </w:r>
      <w:r w:rsidRPr="00B96B6A">
        <w:rPr>
          <w:rFonts w:ascii="Tahoma" w:eastAsia="Times New Roman" w:hAnsi="Tahoma" w:cs="Tahoma"/>
          <w:b/>
          <w:bCs/>
          <w:color w:val="4A4A4A"/>
          <w:sz w:val="31"/>
          <w:szCs w:val="31"/>
          <w:lang w:val="uk-UA" w:eastAsia="ru-RU"/>
        </w:rPr>
        <w:t>законодавством</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p>
    <w:p w:rsidR="00B96B6A" w:rsidRPr="00B96B6A" w:rsidRDefault="00B96B6A" w:rsidP="00B96B6A">
      <w:pPr>
        <w:shd w:val="clear" w:color="auto" w:fill="FFFFFF"/>
        <w:spacing w:after="180" w:line="360" w:lineRule="atLeast"/>
        <w:ind w:firstLine="567"/>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Керуючись ст.25 Закону України “Про місцеве самоврядування в Україні” та ст.102 Бюджетного Кодексу України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і розглянувши пропозицію Управління праці та соціального захисту населення щодо надання у 2013 році пільги на тверде паливо та скраплений газ готівкою,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Сєвєродонецька міська рада</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b/>
          <w:bCs/>
          <w:color w:val="4A4A4A"/>
          <w:sz w:val="11"/>
          <w:szCs w:val="11"/>
          <w:lang w:val="uk-UA" w:eastAsia="ru-RU"/>
        </w:rPr>
        <w:t>ВИРІШИЛА:</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ind w:firstLine="705"/>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1.Пільги на тверде паливо та скраплений газ особам, які мають на це право згідно з діючим законодавством у 2013 році надавати готівкою в межах законодавчо встановлених норм та обсягу цільової субвенції, наданої з державного бюджету міському бюджету.</w:t>
      </w:r>
    </w:p>
    <w:p w:rsidR="00B96B6A" w:rsidRPr="00B96B6A" w:rsidRDefault="00B96B6A" w:rsidP="00B96B6A">
      <w:pPr>
        <w:shd w:val="clear" w:color="auto" w:fill="FFFFFF"/>
        <w:spacing w:after="180" w:line="360" w:lineRule="atLeast"/>
        <w:ind w:firstLine="705"/>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2.Для розрахунку суми готівкової виплати використовувати граничний показник вартості однієї тони твердого палива та вартості одного балону скрапленого газу на 2013 рік, які затверджуються відповідними Постановами Кабінету Міністрів України.</w:t>
      </w:r>
    </w:p>
    <w:p w:rsidR="00B96B6A" w:rsidRPr="00B96B6A" w:rsidRDefault="00B96B6A" w:rsidP="00B96B6A">
      <w:pPr>
        <w:shd w:val="clear" w:color="auto" w:fill="FFFFFF"/>
        <w:spacing w:after="180" w:line="360" w:lineRule="atLeast"/>
        <w:ind w:firstLine="705"/>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3.Затвердити порядок готівкового надання пільг на тверде паливо та скраплений газ (додаток 1).</w:t>
      </w:r>
    </w:p>
    <w:p w:rsidR="00B96B6A" w:rsidRPr="00B96B6A" w:rsidRDefault="00B96B6A" w:rsidP="00B96B6A">
      <w:pPr>
        <w:shd w:val="clear" w:color="auto" w:fill="FFFFFF"/>
        <w:spacing w:after="180" w:line="360" w:lineRule="atLeast"/>
        <w:ind w:firstLine="705"/>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4.Управлінню праці та соціального захисту населення здійснити готівкову виплату пільг на тверде паливо та скраплений газ у 2013 році.</w:t>
      </w:r>
    </w:p>
    <w:p w:rsidR="00B96B6A" w:rsidRPr="00B96B6A" w:rsidRDefault="00B96B6A" w:rsidP="00B96B6A">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5.Дане рішення підлягає оприлюдненню.</w:t>
      </w:r>
    </w:p>
    <w:p w:rsidR="00B96B6A" w:rsidRPr="00B96B6A" w:rsidRDefault="00B96B6A" w:rsidP="00B96B6A">
      <w:pPr>
        <w:shd w:val="clear" w:color="auto" w:fill="FFFFFF"/>
        <w:spacing w:after="180" w:line="360" w:lineRule="atLeast"/>
        <w:ind w:firstLine="705"/>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6.Контроль за виконанням цього рішення покласти на комісію з питань охорони здоров’я і соціального захисту населення.</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b/>
          <w:bCs/>
          <w:color w:val="4A4A4A"/>
          <w:sz w:val="11"/>
          <w:szCs w:val="11"/>
          <w:lang w:val="uk-UA" w:eastAsia="ru-RU"/>
        </w:rPr>
        <w:t>Міський голова                                                     </w:t>
      </w:r>
      <w:r w:rsidRPr="00B96B6A">
        <w:rPr>
          <w:rFonts w:ascii="Tahoma" w:eastAsia="Times New Roman" w:hAnsi="Tahoma" w:cs="Tahoma"/>
          <w:b/>
          <w:bCs/>
          <w:color w:val="4A4A4A"/>
          <w:sz w:val="11"/>
          <w:lang w:val="uk-UA" w:eastAsia="ru-RU"/>
        </w:rPr>
        <w:t> </w:t>
      </w:r>
      <w:r w:rsidRPr="00B96B6A">
        <w:rPr>
          <w:rFonts w:ascii="Tahoma" w:eastAsia="Times New Roman" w:hAnsi="Tahoma" w:cs="Tahoma"/>
          <w:b/>
          <w:bCs/>
          <w:color w:val="4A4A4A"/>
          <w:sz w:val="11"/>
          <w:szCs w:val="11"/>
          <w:lang w:val="uk-UA" w:eastAsia="ru-RU"/>
        </w:rPr>
        <w:t>В.В.Казаков</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11"/>
          <w:lang w:eastAsia="ru-RU"/>
        </w:rPr>
        <w:lastRenderedPageBreak/>
        <w:t>ПРОПОЗИЦІЯ</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11"/>
          <w:lang w:eastAsia="ru-RU"/>
        </w:rPr>
        <w:t> </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11"/>
          <w:lang w:eastAsia="ru-RU"/>
        </w:rPr>
        <w:t>УПтаСЗН  відносно  готівкового надання  пільг на</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11"/>
          <w:lang w:eastAsia="ru-RU"/>
        </w:rPr>
        <w:t>тверде паливо та скраплений газ особам, які мають</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11"/>
          <w:lang w:eastAsia="ru-RU"/>
        </w:rPr>
        <w:t>на це право згідно з діючим законодавством у 2013 році</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ind w:firstLine="567"/>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Управління праці та соціального захисту населення вносить пропозицію розглянути на сесії міської ради питання про надання пільги на тверде паливо та скраплений газ готівкою особам, які мають на це право згідно з чинним законодавством.</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Управлінням складені та уточнені за допомогою селищних рад списки осіб, які мають право на пільгове тверде паливо та скраплений газ згідно з чинним законодавством.</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Згідно цих списків право на цю пільгу мають:</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p>
    <w:p w:rsidR="00B96B6A" w:rsidRPr="00B96B6A" w:rsidRDefault="00B96B6A" w:rsidP="00B96B6A">
      <w:pPr>
        <w:shd w:val="clear" w:color="auto" w:fill="FFFFFF"/>
        <w:spacing w:after="180" w:line="360" w:lineRule="atLeast"/>
        <w:ind w:firstLine="708"/>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u w:val="single"/>
          <w:lang w:val="uk-UA" w:eastAsia="ru-RU"/>
        </w:rPr>
        <w:t>на тверде паливо</w:t>
      </w:r>
      <w:r w:rsidRPr="00B96B6A">
        <w:rPr>
          <w:rFonts w:ascii="Tahoma" w:eastAsia="Times New Roman" w:hAnsi="Tahoma" w:cs="Tahoma"/>
          <w:color w:val="4A4A4A"/>
          <w:sz w:val="11"/>
          <w:szCs w:val="11"/>
          <w:lang w:val="uk-UA" w:eastAsia="ru-RU"/>
        </w:rPr>
        <w:t>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u w:val="single"/>
          <w:lang w:val="uk-UA" w:eastAsia="ru-RU"/>
        </w:rPr>
        <w:t>на скраплений газ</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інвалідів війни (ст.7)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eastAsia="ru-RU"/>
        </w:rPr>
        <w:t>3</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(особи)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учасників бойових дій (ст.6)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-1 (особа)</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учасників бойових дій (ст.6)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eastAsia="ru-RU"/>
        </w:rPr>
        <w:t>4</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(особи)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учасників війни (ст.9),осіб</w:t>
      </w:r>
    </w:p>
    <w:p w:rsidR="00B96B6A" w:rsidRPr="00B96B6A" w:rsidRDefault="00B96B6A" w:rsidP="00B96B6A">
      <w:pPr>
        <w:shd w:val="clear" w:color="auto" w:fill="FFFFFF"/>
        <w:spacing w:after="180" w:line="360" w:lineRule="atLeast"/>
        <w:ind w:right="-116"/>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учасників війни (ст.9),осіб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- 50 (осіб)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на яких поширюється дія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на яких поширюється дія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цього закону(ст.10)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-13 (осіб)</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цього закону(ст.10)                                                 </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вчителів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- 1 (ос</w:t>
      </w:r>
      <w:r w:rsidRPr="00B96B6A">
        <w:rPr>
          <w:rFonts w:ascii="Tahoma" w:eastAsia="Times New Roman" w:hAnsi="Tahoma" w:cs="Tahoma"/>
          <w:color w:val="4A4A4A"/>
          <w:sz w:val="11"/>
          <w:szCs w:val="11"/>
          <w:lang w:eastAsia="ru-RU"/>
        </w:rPr>
        <w:t>о</w:t>
      </w:r>
      <w:r w:rsidRPr="00B96B6A">
        <w:rPr>
          <w:rFonts w:ascii="Tahoma" w:eastAsia="Times New Roman" w:hAnsi="Tahoma" w:cs="Tahoma"/>
          <w:color w:val="4A4A4A"/>
          <w:sz w:val="11"/>
          <w:szCs w:val="11"/>
          <w:lang w:val="uk-UA" w:eastAsia="ru-RU"/>
        </w:rPr>
        <w:t>ба)     </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медичних працівників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- 1 (особи)</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осіб, які постраждали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- 2 (особи)     </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внаслідок Чорнобильської</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катастрофи</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багатодітних сімей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- 5 (сімей)</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вдова колишнього шахтаря</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lastRenderedPageBreak/>
        <w:t>(ст.48 Гірничого Закону України)- 1 (особа)</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Згідно зі ст.102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Бюджетного Кодексу України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пільги на придбання твердого палива та скрапленого газу надаються виходячи із розрахунку вартості однієї тони твердого палива та одного балону газу на домогосподарство.</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val="uk-UA" w:eastAsia="ru-RU"/>
        </w:rPr>
      </w:pPr>
      <w:r w:rsidRPr="00B96B6A">
        <w:rPr>
          <w:rFonts w:ascii="Tahoma" w:eastAsia="Times New Roman" w:hAnsi="Tahoma" w:cs="Tahoma"/>
          <w:color w:val="4A4A4A"/>
          <w:sz w:val="11"/>
          <w:szCs w:val="11"/>
          <w:lang w:val="uk-UA" w:eastAsia="ru-RU"/>
        </w:rPr>
        <w:t>Граничні показники вартості твердого палива та скрапленого газу для надання у 2013 році пільг на їх придбання згідно з Постановою Кабінету Міністрів України № 356 від 23.04.2012 р. «Про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 за рахунок субвенції з державного бюджету місцевим бюджетам» визначаються шляхом збільшення відповідних показників 2012 року на зазначений індекс споживчих цін.</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В 2013році застосовуються наступні граничні показники вартості:</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твердого палива – 995,60 гривень за 1 тонну;</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скрапленого газу – 127,73 гривень за 1 балон.</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Готівкова виплата пільг на тверде паливо та скраплений газ у 2012 році показала, що така форма найбільш прийнятна.</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Тому просимо міську раду ухвалити рішення про готівкову виплату пільг на тверде паливо та скраплений газ у 2013 році.</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Заст.начальника УПтаСЗН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І.І.Михайлюк</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jc w:val="righ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r w:rsidRPr="00B96B6A">
        <w:rPr>
          <w:rFonts w:ascii="Tahoma" w:eastAsia="Times New Roman" w:hAnsi="Tahoma" w:cs="Tahoma"/>
          <w:i/>
          <w:iCs/>
          <w:color w:val="4A4A4A"/>
          <w:sz w:val="11"/>
          <w:lang w:eastAsia="ru-RU"/>
        </w:rPr>
        <w:t> Додаток  1</w:t>
      </w:r>
    </w:p>
    <w:p w:rsidR="00B96B6A" w:rsidRPr="00B96B6A" w:rsidRDefault="00B96B6A" w:rsidP="00B96B6A">
      <w:pPr>
        <w:shd w:val="clear" w:color="auto" w:fill="FFFFFF"/>
        <w:spacing w:after="180" w:line="360" w:lineRule="atLeast"/>
        <w:jc w:val="right"/>
        <w:rPr>
          <w:rFonts w:ascii="Tahoma" w:eastAsia="Times New Roman" w:hAnsi="Tahoma" w:cs="Tahoma"/>
          <w:color w:val="4A4A4A"/>
          <w:sz w:val="11"/>
          <w:szCs w:val="11"/>
          <w:lang w:eastAsia="ru-RU"/>
        </w:rPr>
      </w:pPr>
      <w:r w:rsidRPr="00B96B6A">
        <w:rPr>
          <w:rFonts w:ascii="Tahoma" w:eastAsia="Times New Roman" w:hAnsi="Tahoma" w:cs="Tahoma"/>
          <w:i/>
          <w:iCs/>
          <w:color w:val="4A4A4A"/>
          <w:sz w:val="11"/>
          <w:lang w:eastAsia="ru-RU"/>
        </w:rPr>
        <w:t>                                                           до рішення 61-ї сесії</w:t>
      </w:r>
    </w:p>
    <w:p w:rsidR="00B96B6A" w:rsidRPr="00B96B6A" w:rsidRDefault="00B96B6A" w:rsidP="00B96B6A">
      <w:pPr>
        <w:shd w:val="clear" w:color="auto" w:fill="FFFFFF"/>
        <w:spacing w:after="180" w:line="360" w:lineRule="atLeast"/>
        <w:jc w:val="right"/>
        <w:rPr>
          <w:rFonts w:ascii="Tahoma" w:eastAsia="Times New Roman" w:hAnsi="Tahoma" w:cs="Tahoma"/>
          <w:color w:val="4A4A4A"/>
          <w:sz w:val="11"/>
          <w:szCs w:val="11"/>
          <w:lang w:eastAsia="ru-RU"/>
        </w:rPr>
      </w:pPr>
      <w:r w:rsidRPr="00B96B6A">
        <w:rPr>
          <w:rFonts w:ascii="Tahoma" w:eastAsia="Times New Roman" w:hAnsi="Tahoma" w:cs="Tahoma"/>
          <w:i/>
          <w:iCs/>
          <w:color w:val="4A4A4A"/>
          <w:sz w:val="11"/>
          <w:lang w:eastAsia="ru-RU"/>
        </w:rPr>
        <w:t>                                                           Сєвєродонецької міської ради</w:t>
      </w:r>
    </w:p>
    <w:p w:rsidR="00B96B6A" w:rsidRPr="00B96B6A" w:rsidRDefault="00B96B6A" w:rsidP="00B96B6A">
      <w:pPr>
        <w:shd w:val="clear" w:color="auto" w:fill="FFFFFF"/>
        <w:spacing w:after="180" w:line="360" w:lineRule="atLeast"/>
        <w:jc w:val="right"/>
        <w:rPr>
          <w:rFonts w:ascii="Tahoma" w:eastAsia="Times New Roman" w:hAnsi="Tahoma" w:cs="Tahoma"/>
          <w:color w:val="4A4A4A"/>
          <w:sz w:val="11"/>
          <w:szCs w:val="11"/>
          <w:lang w:eastAsia="ru-RU"/>
        </w:rPr>
      </w:pPr>
      <w:r w:rsidRPr="00B96B6A">
        <w:rPr>
          <w:rFonts w:ascii="Tahoma" w:eastAsia="Times New Roman" w:hAnsi="Tahoma" w:cs="Tahoma"/>
          <w:i/>
          <w:iCs/>
          <w:color w:val="4A4A4A"/>
          <w:sz w:val="11"/>
          <w:lang w:eastAsia="ru-RU"/>
        </w:rPr>
        <w:t>V1 скликання</w:t>
      </w:r>
    </w:p>
    <w:p w:rsidR="00B96B6A" w:rsidRPr="00B96B6A" w:rsidRDefault="00B96B6A" w:rsidP="00B96B6A">
      <w:pPr>
        <w:shd w:val="clear" w:color="auto" w:fill="FFFFFF"/>
        <w:spacing w:after="180" w:line="360" w:lineRule="atLeast"/>
        <w:jc w:val="right"/>
        <w:rPr>
          <w:rFonts w:ascii="Tahoma" w:eastAsia="Times New Roman" w:hAnsi="Tahoma" w:cs="Tahoma"/>
          <w:color w:val="4A4A4A"/>
          <w:sz w:val="11"/>
          <w:szCs w:val="11"/>
          <w:lang w:eastAsia="ru-RU"/>
        </w:rPr>
      </w:pPr>
      <w:r w:rsidRPr="00B96B6A">
        <w:rPr>
          <w:rFonts w:ascii="Tahoma" w:eastAsia="Times New Roman" w:hAnsi="Tahoma" w:cs="Tahoma"/>
          <w:i/>
          <w:iCs/>
          <w:color w:val="4A4A4A"/>
          <w:sz w:val="11"/>
          <w:lang w:eastAsia="ru-RU"/>
        </w:rPr>
        <w:t>                                                           від 30 квітня 2013 року  № 2626</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r w:rsidRPr="00B96B6A">
        <w:rPr>
          <w:rFonts w:ascii="Tahoma" w:eastAsia="Times New Roman" w:hAnsi="Tahoma" w:cs="Tahoma"/>
          <w:b/>
          <w:bCs/>
          <w:color w:val="4A4A4A"/>
          <w:sz w:val="11"/>
          <w:lang w:eastAsia="ru-RU"/>
        </w:rPr>
        <w:t>           ПОРЯДОК</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11"/>
          <w:lang w:eastAsia="ru-RU"/>
        </w:rPr>
        <w:t> </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11"/>
          <w:lang w:eastAsia="ru-RU"/>
        </w:rPr>
        <w:t>готівкового надання пільги на тверде паливо та</w:t>
      </w:r>
    </w:p>
    <w:p w:rsidR="00B96B6A" w:rsidRPr="00B96B6A" w:rsidRDefault="00B96B6A" w:rsidP="00B96B6A">
      <w:pPr>
        <w:shd w:val="clear" w:color="auto" w:fill="FFFFFF"/>
        <w:spacing w:after="180" w:line="360" w:lineRule="atLeast"/>
        <w:jc w:val="center"/>
        <w:rPr>
          <w:rFonts w:ascii="Tahoma" w:eastAsia="Times New Roman" w:hAnsi="Tahoma" w:cs="Tahoma"/>
          <w:color w:val="4A4A4A"/>
          <w:sz w:val="11"/>
          <w:szCs w:val="11"/>
          <w:lang w:eastAsia="ru-RU"/>
        </w:rPr>
      </w:pPr>
      <w:r w:rsidRPr="00B96B6A">
        <w:rPr>
          <w:rFonts w:ascii="Tahoma" w:eastAsia="Times New Roman" w:hAnsi="Tahoma" w:cs="Tahoma"/>
          <w:b/>
          <w:bCs/>
          <w:color w:val="4A4A4A"/>
          <w:sz w:val="11"/>
          <w:lang w:eastAsia="ru-RU"/>
        </w:rPr>
        <w:lastRenderedPageBreak/>
        <w:t>скраплений газ  згідно з діючим законодавством</w:t>
      </w:r>
    </w:p>
    <w:p w:rsidR="00B96B6A" w:rsidRPr="00B96B6A" w:rsidRDefault="00B96B6A" w:rsidP="00B96B6A">
      <w:pPr>
        <w:shd w:val="clear" w:color="auto" w:fill="FFFFFF"/>
        <w:spacing w:after="180" w:line="360" w:lineRule="atLeast"/>
        <w:ind w:firstLine="900"/>
        <w:jc w:val="center"/>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eastAsia="ru-RU"/>
        </w:rPr>
        <w:t> </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eastAsia="ru-RU"/>
        </w:rPr>
        <w:t> </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eastAsia="ru-RU"/>
        </w:rPr>
        <w:t>1.Згідно  з діючоим законодавством пільги на тверде паливо та скраплений газ надаються ветеранам війни; особам, які мають  особливі трудові заслуги перед Батьківщиною, жертвам нацистських переслідувань, ветеранам військової служби, ветеранам органів внутрішніх справ, ветеранам державної пожежної охорони, вдовам померлих ветеранів військової служби, ветеранів органів внутрішніх справ та державної пожежної  охорони, а також звільненим зі служби за віком, хворобою або вислугою років працівникам міліції, особам начальницького складу податкової міліції, рядового і начальницького складу кримінально-виконавчої системи, державної пожежної охорони,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громадянам, які постраждали внаслідок Чорнобильської катастрофи; особам, які мають право на цю пільгу згідно з Законом України «Про освіту» та Основ законодавства про культуру, Основ законодавства України про охорону здоров’я, багатодітним сім'ям, особам, які мають право згідно зі статтею 48 Гірничого Закону України.</w:t>
      </w:r>
    </w:p>
    <w:p w:rsidR="00B96B6A" w:rsidRPr="00B96B6A" w:rsidRDefault="00B96B6A" w:rsidP="00B96B6A">
      <w:pPr>
        <w:shd w:val="clear" w:color="auto" w:fill="FFFFFF"/>
        <w:spacing w:after="180" w:line="360" w:lineRule="atLeast"/>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eastAsia="ru-RU"/>
        </w:rPr>
        <w:t>2.Готівкова виплата для придбання твердого палива та скрапленого газу проводиться УПтаСЗН міської ради шляхом перерахування розрахункової суми пільги на поточний рахунок отримувача пільги, відкритий в банківській установі.</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3.Підставою для готівкової виплати для придбання твердого палива та скрапленого газу є заява, форма якої затверджена наказом Міністерства соціальної політики України від 22 лютого 2012 року № 96</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4.УПтаСЗН на підставі отриманих заяв складаються списки отримувачів пільг на зарахування суми пільги на тверде паливо та скраплений газ на поточні рахунки отримувачів пільги в банківській установі.</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5.На підставі поданих за місяць заяв УПтаСЗН проводить розрахунок необхідної суми субвенції для готівкової виплати пільги.</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Ця сума включається у звіт про надані пільги, який надається до фінансового управління міської ради, для виділення коштів на виплату отримувачам пільг.</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6.Перерахування коштів на поточні рахунки отримувачів пільг здійснюються УПтаСЗН у п’ятиденний термін після отримання коштів на розрахунковий рахунок управління.</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7.Перерахування коштів на поточні рахунки отримувачів пільг здійснюються у відповідності із датою подачі заяви. При цьому в першу чергу кошти перераховуються на рахунки інвалідів війни та учасників бойових дій.</w:t>
      </w:r>
    </w:p>
    <w:p w:rsidR="00B96B6A" w:rsidRPr="00B96B6A" w:rsidRDefault="00B96B6A" w:rsidP="00B96B6A">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8.Останнім терміном прийняття заяв для отримання пільги на тверде паливо та скраплений газ є 31.12.2013 року.</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shd w:val="clear" w:color="auto" w:fill="FFFF00"/>
          <w:lang w:val="uk-UA" w:eastAsia="ru-RU"/>
        </w:rPr>
        <w:t> </w:t>
      </w:r>
    </w:p>
    <w:p w:rsidR="00B96B6A" w:rsidRPr="00B96B6A" w:rsidRDefault="00B96B6A" w:rsidP="00B96B6A">
      <w:pPr>
        <w:shd w:val="clear" w:color="auto" w:fill="FFFFFF"/>
        <w:spacing w:after="180" w:line="360" w:lineRule="atLeast"/>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ind w:right="606"/>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 </w:t>
      </w:r>
    </w:p>
    <w:p w:rsidR="00B96B6A" w:rsidRPr="00B96B6A" w:rsidRDefault="00B96B6A" w:rsidP="00B96B6A">
      <w:pPr>
        <w:shd w:val="clear" w:color="auto" w:fill="FFFFFF"/>
        <w:spacing w:after="180" w:line="360" w:lineRule="atLeast"/>
        <w:ind w:right="606"/>
        <w:jc w:val="both"/>
        <w:rPr>
          <w:rFonts w:ascii="Tahoma" w:eastAsia="Times New Roman" w:hAnsi="Tahoma" w:cs="Tahoma"/>
          <w:color w:val="4A4A4A"/>
          <w:sz w:val="11"/>
          <w:szCs w:val="11"/>
          <w:lang w:eastAsia="ru-RU"/>
        </w:rPr>
      </w:pPr>
      <w:r w:rsidRPr="00B96B6A">
        <w:rPr>
          <w:rFonts w:ascii="Tahoma" w:eastAsia="Times New Roman" w:hAnsi="Tahoma" w:cs="Tahoma"/>
          <w:color w:val="4A4A4A"/>
          <w:sz w:val="11"/>
          <w:szCs w:val="11"/>
          <w:lang w:val="uk-UA" w:eastAsia="ru-RU"/>
        </w:rPr>
        <w:t>Секретар ради                                                         </w:t>
      </w:r>
      <w:r w:rsidRPr="00B96B6A">
        <w:rPr>
          <w:rFonts w:ascii="Tahoma" w:eastAsia="Times New Roman" w:hAnsi="Tahoma" w:cs="Tahoma"/>
          <w:color w:val="4A4A4A"/>
          <w:sz w:val="11"/>
          <w:lang w:val="uk-UA" w:eastAsia="ru-RU"/>
        </w:rPr>
        <w:t> </w:t>
      </w:r>
      <w:r w:rsidRPr="00B96B6A">
        <w:rPr>
          <w:rFonts w:ascii="Tahoma" w:eastAsia="Times New Roman" w:hAnsi="Tahoma" w:cs="Tahoma"/>
          <w:color w:val="4A4A4A"/>
          <w:sz w:val="11"/>
          <w:szCs w:val="11"/>
          <w:lang w:val="uk-UA" w:eastAsia="ru-RU"/>
        </w:rPr>
        <w:t>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B96B6A"/>
    <w:rsid w:val="006760BA"/>
    <w:rsid w:val="00B96B6A"/>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96B6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6B6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96B6A"/>
  </w:style>
  <w:style w:type="paragraph" w:styleId="a3">
    <w:name w:val="Normal (Web)"/>
    <w:basedOn w:val="a"/>
    <w:uiPriority w:val="99"/>
    <w:semiHidden/>
    <w:unhideWhenUsed/>
    <w:rsid w:val="00B96B6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1">
    <w:name w:val="31"/>
    <w:basedOn w:val="a"/>
    <w:rsid w:val="00B96B6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B96B6A"/>
    <w:rPr>
      <w:b/>
      <w:bCs/>
    </w:rPr>
  </w:style>
  <w:style w:type="character" w:styleId="a5">
    <w:name w:val="Emphasis"/>
    <w:basedOn w:val="a0"/>
    <w:uiPriority w:val="20"/>
    <w:qFormat/>
    <w:rsid w:val="00B96B6A"/>
    <w:rPr>
      <w:i/>
      <w:iCs/>
    </w:rPr>
  </w:style>
  <w:style w:type="paragraph" w:customStyle="1" w:styleId="1">
    <w:name w:val="1"/>
    <w:basedOn w:val="a"/>
    <w:rsid w:val="00B96B6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30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6418</Characters>
  <Application>Microsoft Office Word</Application>
  <DocSecurity>0</DocSecurity>
  <Lines>53</Lines>
  <Paragraphs>15</Paragraphs>
  <ScaleCrop>false</ScaleCrop>
  <Company>Северодонецкие вести</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2016-07-08T08:40:00Z</dcterms:created>
  <dcterms:modified xsi:type="dcterms:W3CDTF">2016-07-08T08:40:00Z</dcterms:modified>
</cp:coreProperties>
</file>