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FF8" w:rsidRPr="00730FF8" w:rsidRDefault="00730FF8" w:rsidP="00730FF8">
      <w:pPr>
        <w:shd w:val="clear" w:color="auto" w:fill="FFFFFF"/>
        <w:spacing w:after="60"/>
        <w:jc w:val="center"/>
        <w:outlineLvl w:val="1"/>
        <w:rPr>
          <w:rFonts w:ascii="Tahoma" w:eastAsia="Times New Roman" w:hAnsi="Tahoma" w:cs="Tahoma"/>
          <w:b/>
          <w:bCs/>
          <w:color w:val="4A4A4A"/>
          <w:sz w:val="31"/>
          <w:szCs w:val="31"/>
          <w:lang w:eastAsia="ru-RU"/>
        </w:rPr>
      </w:pPr>
      <w:r w:rsidRPr="00730FF8">
        <w:rPr>
          <w:rFonts w:ascii="Tahoma" w:eastAsia="Times New Roman" w:hAnsi="Tahoma" w:cs="Tahoma"/>
          <w:b/>
          <w:bCs/>
          <w:color w:val="4A4A4A"/>
          <w:sz w:val="31"/>
          <w:szCs w:val="31"/>
          <w:lang w:eastAsia="ru-RU"/>
        </w:rPr>
        <w:t>СЄВЄРОДОНЕЦЬКА  МІСЬКА  РАДА            </w:t>
      </w:r>
    </w:p>
    <w:p w:rsidR="00730FF8" w:rsidRPr="00730FF8" w:rsidRDefault="00730FF8" w:rsidP="00730FF8">
      <w:pPr>
        <w:shd w:val="clear" w:color="auto" w:fill="FFFFFF"/>
        <w:spacing w:after="60"/>
        <w:jc w:val="center"/>
        <w:outlineLvl w:val="1"/>
        <w:rPr>
          <w:rFonts w:ascii="Tahoma" w:eastAsia="Times New Roman" w:hAnsi="Tahoma" w:cs="Tahoma"/>
          <w:b/>
          <w:bCs/>
          <w:color w:val="4A4A4A"/>
          <w:sz w:val="31"/>
          <w:szCs w:val="31"/>
          <w:lang w:eastAsia="ru-RU"/>
        </w:rPr>
      </w:pPr>
      <w:r w:rsidRPr="00730FF8">
        <w:rPr>
          <w:rFonts w:ascii="Tahoma" w:eastAsia="Times New Roman" w:hAnsi="Tahoma" w:cs="Tahoma"/>
          <w:b/>
          <w:bCs/>
          <w:color w:val="4A4A4A"/>
          <w:sz w:val="31"/>
          <w:szCs w:val="31"/>
          <w:lang w:eastAsia="ru-RU"/>
        </w:rPr>
        <w:t>ШОСТОГО СКЛИКАННЯ</w:t>
      </w:r>
    </w:p>
    <w:p w:rsidR="00730FF8" w:rsidRPr="00730FF8" w:rsidRDefault="00730FF8" w:rsidP="00730FF8">
      <w:pPr>
        <w:shd w:val="clear" w:color="auto" w:fill="FFFFFF"/>
        <w:spacing w:after="60"/>
        <w:jc w:val="center"/>
        <w:outlineLvl w:val="1"/>
        <w:rPr>
          <w:rFonts w:ascii="Tahoma" w:eastAsia="Times New Roman" w:hAnsi="Tahoma" w:cs="Tahoma"/>
          <w:b/>
          <w:bCs/>
          <w:color w:val="4A4A4A"/>
          <w:sz w:val="31"/>
          <w:szCs w:val="31"/>
          <w:lang w:eastAsia="ru-RU"/>
        </w:rPr>
      </w:pPr>
      <w:r w:rsidRPr="00730FF8">
        <w:rPr>
          <w:rFonts w:ascii="Tahoma" w:eastAsia="Times New Roman" w:hAnsi="Tahoma" w:cs="Tahoma"/>
          <w:b/>
          <w:bCs/>
          <w:color w:val="4A4A4A"/>
          <w:sz w:val="31"/>
          <w:szCs w:val="31"/>
          <w:lang w:eastAsia="ru-RU"/>
        </w:rPr>
        <w:t>П’ятдесят дев’ята (чергова) сесія</w:t>
      </w:r>
    </w:p>
    <w:p w:rsidR="00730FF8" w:rsidRPr="00730FF8" w:rsidRDefault="00730FF8" w:rsidP="00730FF8">
      <w:pPr>
        <w:shd w:val="clear" w:color="auto" w:fill="FFFFFF"/>
        <w:spacing w:after="60"/>
        <w:jc w:val="center"/>
        <w:outlineLvl w:val="1"/>
        <w:rPr>
          <w:rFonts w:ascii="Tahoma" w:eastAsia="Times New Roman" w:hAnsi="Tahoma" w:cs="Tahoma"/>
          <w:b/>
          <w:bCs/>
          <w:color w:val="4A4A4A"/>
          <w:sz w:val="31"/>
          <w:szCs w:val="31"/>
          <w:lang w:eastAsia="ru-RU"/>
        </w:rPr>
      </w:pPr>
      <w:r w:rsidRPr="00730FF8">
        <w:rPr>
          <w:rFonts w:ascii="Tahoma" w:eastAsia="Times New Roman" w:hAnsi="Tahoma" w:cs="Tahoma"/>
          <w:b/>
          <w:bCs/>
          <w:color w:val="4A4A4A"/>
          <w:sz w:val="31"/>
          <w:szCs w:val="31"/>
          <w:lang w:eastAsia="ru-RU"/>
        </w:rPr>
        <w:t>                                                                                                                </w:t>
      </w:r>
    </w:p>
    <w:p w:rsidR="00730FF8" w:rsidRPr="00730FF8" w:rsidRDefault="00730FF8" w:rsidP="00730FF8">
      <w:pPr>
        <w:shd w:val="clear" w:color="auto" w:fill="FFFFFF"/>
        <w:spacing w:after="60"/>
        <w:jc w:val="center"/>
        <w:outlineLvl w:val="1"/>
        <w:rPr>
          <w:rFonts w:ascii="Tahoma" w:eastAsia="Times New Roman" w:hAnsi="Tahoma" w:cs="Tahoma"/>
          <w:b/>
          <w:bCs/>
          <w:color w:val="4A4A4A"/>
          <w:sz w:val="31"/>
          <w:szCs w:val="31"/>
          <w:lang w:eastAsia="ru-RU"/>
        </w:rPr>
      </w:pPr>
      <w:r w:rsidRPr="00730FF8">
        <w:rPr>
          <w:rFonts w:ascii="Tahoma" w:eastAsia="Times New Roman" w:hAnsi="Tahoma" w:cs="Tahoma"/>
          <w:b/>
          <w:bCs/>
          <w:color w:val="4A4A4A"/>
          <w:sz w:val="31"/>
          <w:szCs w:val="31"/>
          <w:lang w:eastAsia="ru-RU"/>
        </w:rPr>
        <w:t>РІШЕННЯ  №2572</w:t>
      </w:r>
    </w:p>
    <w:p w:rsidR="00730FF8" w:rsidRPr="00730FF8" w:rsidRDefault="00730FF8" w:rsidP="00730FF8">
      <w:pPr>
        <w:shd w:val="clear" w:color="auto" w:fill="FFFFFF"/>
        <w:spacing w:after="180" w:line="360" w:lineRule="atLeast"/>
        <w:outlineLvl w:val="6"/>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eastAsia="ru-RU"/>
        </w:rPr>
        <w:t> </w:t>
      </w:r>
    </w:p>
    <w:p w:rsidR="00730FF8" w:rsidRPr="00730FF8" w:rsidRDefault="00730FF8" w:rsidP="00730FF8">
      <w:pPr>
        <w:shd w:val="clear" w:color="auto" w:fill="FFFFFF"/>
        <w:spacing w:after="180" w:line="360" w:lineRule="atLeast"/>
        <w:outlineLvl w:val="6"/>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eastAsia="ru-RU"/>
        </w:rPr>
        <w:t>«28» березня 2013 року</w:t>
      </w:r>
    </w:p>
    <w:p w:rsidR="00730FF8" w:rsidRPr="00730FF8" w:rsidRDefault="00730FF8" w:rsidP="00730FF8">
      <w:pPr>
        <w:shd w:val="clear" w:color="auto" w:fill="FFFFFF"/>
        <w:spacing w:after="180" w:line="360" w:lineRule="atLeast"/>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eastAsia="ru-RU"/>
        </w:rPr>
        <w:t>м.Сєвєродонецьк</w:t>
      </w:r>
    </w:p>
    <w:p w:rsidR="00730FF8" w:rsidRPr="00730FF8" w:rsidRDefault="00730FF8" w:rsidP="00730FF8">
      <w:pPr>
        <w:shd w:val="clear" w:color="auto" w:fill="FFFFFF"/>
        <w:spacing w:after="180" w:line="360" w:lineRule="atLeast"/>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60"/>
        <w:outlineLvl w:val="1"/>
        <w:rPr>
          <w:rFonts w:ascii="Tahoma" w:eastAsia="Times New Roman" w:hAnsi="Tahoma" w:cs="Tahoma"/>
          <w:b/>
          <w:bCs/>
          <w:color w:val="4A4A4A"/>
          <w:sz w:val="31"/>
          <w:szCs w:val="31"/>
          <w:lang w:eastAsia="ru-RU"/>
        </w:rPr>
      </w:pPr>
      <w:r w:rsidRPr="00730FF8">
        <w:rPr>
          <w:rFonts w:ascii="Tahoma" w:eastAsia="Times New Roman" w:hAnsi="Tahoma" w:cs="Tahoma"/>
          <w:b/>
          <w:bCs/>
          <w:color w:val="4A4A4A"/>
          <w:sz w:val="24"/>
          <w:szCs w:val="24"/>
          <w:lang w:val="uk-UA" w:eastAsia="ru-RU"/>
        </w:rPr>
        <w:t>Про хід виконання рішення сесії міської ради</w:t>
      </w:r>
      <w:r w:rsidRPr="00730FF8">
        <w:rPr>
          <w:rFonts w:ascii="Tahoma" w:eastAsia="Times New Roman" w:hAnsi="Tahoma" w:cs="Tahoma"/>
          <w:b/>
          <w:bCs/>
          <w:color w:val="4A4A4A"/>
          <w:sz w:val="24"/>
          <w:lang w:val="uk-UA" w:eastAsia="ru-RU"/>
        </w:rPr>
        <w:t> </w:t>
      </w:r>
      <w:r w:rsidRPr="00730FF8">
        <w:rPr>
          <w:rFonts w:ascii="Tahoma" w:eastAsia="Times New Roman" w:hAnsi="Tahoma" w:cs="Tahoma"/>
          <w:b/>
          <w:bCs/>
          <w:color w:val="4A4A4A"/>
          <w:sz w:val="24"/>
          <w:szCs w:val="24"/>
          <w:lang w:val="uk-UA" w:eastAsia="ru-RU"/>
        </w:rPr>
        <w:t>№ </w:t>
      </w:r>
      <w:r w:rsidRPr="00730FF8">
        <w:rPr>
          <w:rFonts w:ascii="Tahoma" w:eastAsia="Times New Roman" w:hAnsi="Tahoma" w:cs="Tahoma"/>
          <w:b/>
          <w:bCs/>
          <w:color w:val="4A4A4A"/>
          <w:sz w:val="24"/>
          <w:lang w:val="uk-UA" w:eastAsia="ru-RU"/>
        </w:rPr>
        <w:t> </w:t>
      </w:r>
      <w:r w:rsidRPr="00730FF8">
        <w:rPr>
          <w:rFonts w:ascii="Tahoma" w:eastAsia="Times New Roman" w:hAnsi="Tahoma" w:cs="Tahoma"/>
          <w:b/>
          <w:bCs/>
          <w:color w:val="4A4A4A"/>
          <w:sz w:val="24"/>
          <w:szCs w:val="24"/>
          <w:lang w:val="uk-UA" w:eastAsia="ru-RU"/>
        </w:rPr>
        <w:t>969 від 27.10.2011р. </w:t>
      </w:r>
      <w:r w:rsidRPr="00730FF8">
        <w:rPr>
          <w:rFonts w:ascii="Tahoma" w:eastAsia="Times New Roman" w:hAnsi="Tahoma" w:cs="Tahoma"/>
          <w:b/>
          <w:bCs/>
          <w:color w:val="4A4A4A"/>
          <w:sz w:val="24"/>
          <w:lang w:val="uk-UA" w:eastAsia="ru-RU"/>
        </w:rPr>
        <w:t> </w:t>
      </w:r>
      <w:r w:rsidRPr="00730FF8">
        <w:rPr>
          <w:rFonts w:ascii="Tahoma" w:eastAsia="Times New Roman" w:hAnsi="Tahoma" w:cs="Tahoma"/>
          <w:b/>
          <w:bCs/>
          <w:color w:val="4A4A4A"/>
          <w:sz w:val="24"/>
          <w:szCs w:val="24"/>
          <w:lang w:eastAsia="ru-RU"/>
        </w:rPr>
        <w:t>«Про затвердження</w:t>
      </w:r>
      <w:r w:rsidRPr="00730FF8">
        <w:rPr>
          <w:rFonts w:ascii="Tahoma" w:eastAsia="Times New Roman" w:hAnsi="Tahoma" w:cs="Tahoma"/>
          <w:b/>
          <w:bCs/>
          <w:color w:val="4A4A4A"/>
          <w:sz w:val="24"/>
          <w:szCs w:val="24"/>
          <w:lang w:val="uk-UA" w:eastAsia="ru-RU"/>
        </w:rPr>
        <w:t>цільової соціальної</w:t>
      </w:r>
      <w:r w:rsidRPr="00730FF8">
        <w:rPr>
          <w:rFonts w:ascii="Tahoma" w:eastAsia="Times New Roman" w:hAnsi="Tahoma" w:cs="Tahoma"/>
          <w:b/>
          <w:bCs/>
          <w:color w:val="4A4A4A"/>
          <w:sz w:val="24"/>
          <w:lang w:val="uk-UA" w:eastAsia="ru-RU"/>
        </w:rPr>
        <w:t> </w:t>
      </w:r>
      <w:r w:rsidRPr="00730FF8">
        <w:rPr>
          <w:rFonts w:ascii="Tahoma" w:eastAsia="Times New Roman" w:hAnsi="Tahoma" w:cs="Tahoma"/>
          <w:b/>
          <w:bCs/>
          <w:color w:val="4A4A4A"/>
          <w:sz w:val="24"/>
          <w:szCs w:val="24"/>
          <w:lang w:eastAsia="ru-RU"/>
        </w:rPr>
        <w:t>програми захисту насе</w:t>
      </w:r>
      <w:r w:rsidRPr="00730FF8">
        <w:rPr>
          <w:rFonts w:ascii="Tahoma" w:eastAsia="Times New Roman" w:hAnsi="Tahoma" w:cs="Tahoma"/>
          <w:b/>
          <w:bCs/>
          <w:color w:val="4A4A4A"/>
          <w:sz w:val="24"/>
          <w:szCs w:val="24"/>
          <w:lang w:val="uk-UA" w:eastAsia="ru-RU"/>
        </w:rPr>
        <w:t>лення і територій Сєвєродонецької міської</w:t>
      </w:r>
      <w:r w:rsidRPr="00730FF8">
        <w:rPr>
          <w:rFonts w:ascii="Tahoma" w:eastAsia="Times New Roman" w:hAnsi="Tahoma" w:cs="Tahoma"/>
          <w:b/>
          <w:bCs/>
          <w:color w:val="4A4A4A"/>
          <w:sz w:val="24"/>
          <w:lang w:val="uk-UA" w:eastAsia="ru-RU"/>
        </w:rPr>
        <w:t> </w:t>
      </w:r>
      <w:r w:rsidRPr="00730FF8">
        <w:rPr>
          <w:rFonts w:ascii="Tahoma" w:eastAsia="Times New Roman" w:hAnsi="Tahoma" w:cs="Tahoma"/>
          <w:b/>
          <w:bCs/>
          <w:color w:val="4A4A4A"/>
          <w:sz w:val="24"/>
          <w:szCs w:val="24"/>
          <w:lang w:val="uk-UA" w:eastAsia="ru-RU"/>
        </w:rPr>
        <w:t>ради від надзвичай</w:t>
      </w:r>
      <w:r w:rsidRPr="00730FF8">
        <w:rPr>
          <w:rFonts w:ascii="Tahoma" w:eastAsia="Times New Roman" w:hAnsi="Tahoma" w:cs="Tahoma"/>
          <w:b/>
          <w:bCs/>
          <w:color w:val="4A4A4A"/>
          <w:sz w:val="24"/>
          <w:szCs w:val="24"/>
          <w:lang w:eastAsia="ru-RU"/>
        </w:rPr>
        <w:t>них ситуацій техногенного</w:t>
      </w:r>
      <w:r w:rsidRPr="00730FF8">
        <w:rPr>
          <w:rFonts w:ascii="Tahoma" w:eastAsia="Times New Roman" w:hAnsi="Tahoma" w:cs="Tahoma"/>
          <w:b/>
          <w:bCs/>
          <w:color w:val="4A4A4A"/>
          <w:sz w:val="24"/>
          <w:lang w:eastAsia="ru-RU"/>
        </w:rPr>
        <w:t> </w:t>
      </w:r>
      <w:r w:rsidRPr="00730FF8">
        <w:rPr>
          <w:rFonts w:ascii="Tahoma" w:eastAsia="Times New Roman" w:hAnsi="Tahoma" w:cs="Tahoma"/>
          <w:b/>
          <w:bCs/>
          <w:color w:val="4A4A4A"/>
          <w:sz w:val="24"/>
          <w:szCs w:val="24"/>
          <w:lang w:eastAsia="ru-RU"/>
        </w:rPr>
        <w:t>та природного характеру на 2012-2016 роки»</w:t>
      </w:r>
      <w:r w:rsidRPr="00730FF8">
        <w:rPr>
          <w:rFonts w:ascii="Tahoma" w:eastAsia="Times New Roman" w:hAnsi="Tahoma" w:cs="Tahoma"/>
          <w:b/>
          <w:bCs/>
          <w:color w:val="4A4A4A"/>
          <w:sz w:val="24"/>
          <w:lang w:eastAsia="ru-RU"/>
        </w:rPr>
        <w:t> </w:t>
      </w:r>
      <w:r w:rsidRPr="00730FF8">
        <w:rPr>
          <w:rFonts w:ascii="Tahoma" w:eastAsia="Times New Roman" w:hAnsi="Tahoma" w:cs="Tahoma"/>
          <w:b/>
          <w:bCs/>
          <w:color w:val="4A4A4A"/>
          <w:sz w:val="24"/>
          <w:szCs w:val="24"/>
          <w:lang w:val="uk-UA" w:eastAsia="ru-RU"/>
        </w:rPr>
        <w:t>у 2012 році</w:t>
      </w:r>
    </w:p>
    <w:p w:rsidR="00730FF8" w:rsidRPr="00730FF8" w:rsidRDefault="00730FF8" w:rsidP="00730FF8">
      <w:pPr>
        <w:shd w:val="clear" w:color="auto" w:fill="FFFFFF"/>
        <w:spacing w:after="180" w:line="360" w:lineRule="atLeast"/>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180" w:line="360" w:lineRule="atLeast"/>
        <w:ind w:right="-82" w:firstLine="708"/>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val="uk-UA" w:eastAsia="ru-RU"/>
        </w:rPr>
        <w:t>Згідно ст.ст.26, 36, Закону України</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«Про місцеве самоврядування в Україні», ст.ст.4, 5, 88, 89 Закону України</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«Про правові засади цивільного захисту»</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Сєвєродонецька міська рада</w:t>
      </w:r>
    </w:p>
    <w:p w:rsidR="00730FF8" w:rsidRPr="00730FF8" w:rsidRDefault="00730FF8" w:rsidP="00730FF8">
      <w:pPr>
        <w:shd w:val="clear" w:color="auto" w:fill="FFFFFF"/>
        <w:spacing w:after="180" w:line="360" w:lineRule="atLeast"/>
        <w:ind w:firstLine="709"/>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val="uk-UA" w:eastAsia="ru-RU"/>
        </w:rPr>
        <w:t> </w:t>
      </w:r>
    </w:p>
    <w:p w:rsidR="00730FF8" w:rsidRPr="00730FF8" w:rsidRDefault="00730FF8" w:rsidP="00730FF8">
      <w:pPr>
        <w:shd w:val="clear" w:color="auto" w:fill="FFFFFF"/>
        <w:spacing w:after="180" w:line="232" w:lineRule="atLeast"/>
        <w:ind w:firstLine="709"/>
        <w:rPr>
          <w:rFonts w:ascii="Tahoma" w:eastAsia="Times New Roman" w:hAnsi="Tahoma" w:cs="Tahoma"/>
          <w:color w:val="4A4A4A"/>
          <w:sz w:val="12"/>
          <w:szCs w:val="12"/>
          <w:lang w:eastAsia="ru-RU"/>
        </w:rPr>
      </w:pPr>
      <w:r w:rsidRPr="00730FF8">
        <w:rPr>
          <w:rFonts w:ascii="Tahoma" w:eastAsia="Times New Roman" w:hAnsi="Tahoma" w:cs="Tahoma"/>
          <w:b/>
          <w:bCs/>
          <w:color w:val="4A4A4A"/>
          <w:sz w:val="12"/>
          <w:szCs w:val="12"/>
          <w:lang w:val="uk-UA" w:eastAsia="ru-RU"/>
        </w:rPr>
        <w:t>ВИРІШИЛА:</w:t>
      </w:r>
    </w:p>
    <w:p w:rsidR="00730FF8" w:rsidRPr="00730FF8" w:rsidRDefault="00730FF8" w:rsidP="00730FF8">
      <w:pPr>
        <w:shd w:val="clear" w:color="auto" w:fill="FFFFFF"/>
        <w:spacing w:after="180" w:line="360" w:lineRule="atLeast"/>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val="uk-UA" w:eastAsia="ru-RU"/>
        </w:rPr>
        <w:t>           </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1. Прийняти до відома щорічний звіт про хід виконання у 2012 році</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цільової соціальної</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програми захисту населення і територій Сєвєродонецької міської ради від надзвичайних ситуацій техногенного та природного характеру на 2012-2016 роки. </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(Додаток).</w:t>
      </w:r>
    </w:p>
    <w:p w:rsidR="00730FF8" w:rsidRPr="00730FF8" w:rsidRDefault="00730FF8" w:rsidP="00730FF8">
      <w:pPr>
        <w:shd w:val="clear" w:color="auto" w:fill="FFFFFF"/>
        <w:spacing w:after="180" w:line="360" w:lineRule="atLeast"/>
        <w:ind w:right="-82" w:firstLine="720"/>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val="uk-UA" w:eastAsia="ru-RU"/>
        </w:rPr>
        <w:t>2. Продовжити роботу над виконанням</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програми.</w:t>
      </w:r>
    </w:p>
    <w:p w:rsidR="00730FF8" w:rsidRPr="00730FF8" w:rsidRDefault="00730FF8" w:rsidP="00730FF8">
      <w:pPr>
        <w:shd w:val="clear" w:color="auto" w:fill="FFFFFF"/>
        <w:spacing w:after="180" w:line="360" w:lineRule="atLeast"/>
        <w:ind w:right="-82" w:firstLine="720"/>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val="uk-UA" w:eastAsia="ru-RU"/>
        </w:rPr>
        <w:t>3. Дане рішення підлягає оприлюдненню.</w:t>
      </w:r>
    </w:p>
    <w:p w:rsidR="00730FF8" w:rsidRPr="00730FF8" w:rsidRDefault="00730FF8" w:rsidP="00730FF8">
      <w:pPr>
        <w:shd w:val="clear" w:color="auto" w:fill="FFFFFF"/>
        <w:spacing w:after="180" w:line="360" w:lineRule="atLeast"/>
        <w:ind w:right="-82" w:firstLine="720"/>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val="uk-UA" w:eastAsia="ru-RU"/>
        </w:rPr>
        <w:t>4. Контроль за виконанням рішення покласти на</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постійну</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комісію</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eastAsia="ru-RU"/>
        </w:rPr>
        <w:t>з</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val="uk-UA" w:eastAsia="ru-RU"/>
        </w:rPr>
        <w:t>питань</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будівництва</w:t>
      </w:r>
      <w:r w:rsidRPr="00730FF8">
        <w:rPr>
          <w:rFonts w:ascii="Tahoma" w:eastAsia="Times New Roman" w:hAnsi="Tahoma" w:cs="Tahoma"/>
          <w:color w:val="4A4A4A"/>
          <w:sz w:val="12"/>
          <w:szCs w:val="12"/>
          <w:lang w:eastAsia="ru-RU"/>
        </w:rPr>
        <w:t>,</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val="uk-UA" w:eastAsia="ru-RU"/>
        </w:rPr>
        <w:t>архітектури</w:t>
      </w:r>
      <w:r w:rsidRPr="00730FF8">
        <w:rPr>
          <w:rFonts w:ascii="Tahoma" w:eastAsia="Times New Roman" w:hAnsi="Tahoma" w:cs="Tahoma"/>
          <w:color w:val="4A4A4A"/>
          <w:sz w:val="12"/>
          <w:szCs w:val="12"/>
          <w:lang w:eastAsia="ru-RU"/>
        </w:rPr>
        <w:t>,</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val="uk-UA" w:eastAsia="ru-RU"/>
        </w:rPr>
        <w:t>земельних</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відносин</w:t>
      </w:r>
      <w:r w:rsidRPr="00730FF8">
        <w:rPr>
          <w:rFonts w:ascii="Tahoma" w:eastAsia="Times New Roman" w:hAnsi="Tahoma" w:cs="Tahoma"/>
          <w:color w:val="4A4A4A"/>
          <w:sz w:val="12"/>
          <w:szCs w:val="12"/>
          <w:lang w:eastAsia="ru-RU"/>
        </w:rPr>
        <w:t>,</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val="uk-UA" w:eastAsia="ru-RU"/>
        </w:rPr>
        <w:t>охоронинавколишнього</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eastAsia="ru-RU"/>
        </w:rPr>
        <w:t>природного</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val="uk-UA" w:eastAsia="ru-RU"/>
        </w:rPr>
        <w:t>середовища</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eastAsia="ru-RU"/>
        </w:rPr>
        <w:t>та</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val="uk-UA" w:eastAsia="ru-RU"/>
        </w:rPr>
        <w:t>розвитку</w:t>
      </w:r>
      <w:r w:rsidRPr="00730FF8">
        <w:rPr>
          <w:rFonts w:ascii="Tahoma" w:eastAsia="Times New Roman" w:hAnsi="Tahoma" w:cs="Tahoma"/>
          <w:color w:val="4A4A4A"/>
          <w:sz w:val="12"/>
          <w:lang w:eastAsia="ru-RU"/>
        </w:rPr>
        <w:t> </w:t>
      </w:r>
      <w:r w:rsidRPr="00730FF8">
        <w:rPr>
          <w:rFonts w:ascii="Tahoma" w:eastAsia="Times New Roman" w:hAnsi="Tahoma" w:cs="Tahoma"/>
          <w:color w:val="4A4A4A"/>
          <w:sz w:val="12"/>
          <w:szCs w:val="12"/>
          <w:lang w:eastAsia="ru-RU"/>
        </w:rPr>
        <w:t>селищ.</w:t>
      </w:r>
    </w:p>
    <w:p w:rsidR="00730FF8" w:rsidRPr="00730FF8" w:rsidRDefault="00730FF8" w:rsidP="00730FF8">
      <w:pPr>
        <w:shd w:val="clear" w:color="auto" w:fill="FFFFFF"/>
        <w:spacing w:after="180" w:line="360" w:lineRule="atLeast"/>
        <w:ind w:firstLine="709"/>
        <w:rPr>
          <w:rFonts w:ascii="Tahoma" w:eastAsia="Times New Roman" w:hAnsi="Tahoma" w:cs="Tahoma"/>
          <w:color w:val="4A4A4A"/>
          <w:sz w:val="12"/>
          <w:szCs w:val="12"/>
          <w:lang w:eastAsia="ru-RU"/>
        </w:rPr>
      </w:pPr>
      <w:r w:rsidRPr="00730FF8">
        <w:rPr>
          <w:rFonts w:ascii="Tahoma" w:eastAsia="Times New Roman" w:hAnsi="Tahoma" w:cs="Tahoma"/>
          <w:color w:val="4A4A4A"/>
          <w:sz w:val="12"/>
          <w:szCs w:val="12"/>
          <w:lang w:eastAsia="ru-RU"/>
        </w:rPr>
        <w:t> </w:t>
      </w:r>
    </w:p>
    <w:p w:rsidR="00730FF8" w:rsidRPr="00730FF8" w:rsidRDefault="00730FF8" w:rsidP="00730FF8">
      <w:pPr>
        <w:shd w:val="clear" w:color="auto" w:fill="FFFFFF"/>
        <w:spacing w:after="180" w:line="174" w:lineRule="atLeast"/>
        <w:rPr>
          <w:rFonts w:ascii="Tahoma" w:eastAsia="Times New Roman" w:hAnsi="Tahoma" w:cs="Tahoma"/>
          <w:color w:val="4A4A4A"/>
          <w:sz w:val="12"/>
          <w:szCs w:val="12"/>
          <w:lang w:eastAsia="ru-RU"/>
        </w:rPr>
      </w:pPr>
      <w:r w:rsidRPr="00730FF8">
        <w:rPr>
          <w:rFonts w:ascii="Tahoma" w:eastAsia="Times New Roman" w:hAnsi="Tahoma" w:cs="Tahoma"/>
          <w:b/>
          <w:bCs/>
          <w:color w:val="4A4A4A"/>
          <w:sz w:val="12"/>
          <w:szCs w:val="12"/>
          <w:lang w:val="uk-UA" w:eastAsia="ru-RU"/>
        </w:rPr>
        <w:t>Міський голова</w:t>
      </w:r>
      <w:r w:rsidRPr="00730FF8">
        <w:rPr>
          <w:rFonts w:ascii="Tahoma" w:eastAsia="Times New Roman" w:hAnsi="Tahoma" w:cs="Tahoma"/>
          <w:color w:val="4A4A4A"/>
          <w:sz w:val="12"/>
          <w:lang w:val="uk-UA" w:eastAsia="ru-RU"/>
        </w:rPr>
        <w:t> </w:t>
      </w:r>
      <w:r w:rsidRPr="00730FF8">
        <w:rPr>
          <w:rFonts w:ascii="Tahoma" w:eastAsia="Times New Roman" w:hAnsi="Tahoma" w:cs="Tahoma"/>
          <w:color w:val="4A4A4A"/>
          <w:sz w:val="12"/>
          <w:szCs w:val="12"/>
          <w:lang w:val="uk-UA" w:eastAsia="ru-RU"/>
        </w:rPr>
        <w:t>             </w:t>
      </w:r>
      <w:r w:rsidRPr="00730FF8">
        <w:rPr>
          <w:rFonts w:ascii="Tahoma" w:eastAsia="Times New Roman" w:hAnsi="Tahoma" w:cs="Tahoma"/>
          <w:color w:val="4A4A4A"/>
          <w:sz w:val="12"/>
          <w:szCs w:val="12"/>
          <w:lang w:eastAsia="ru-RU"/>
        </w:rPr>
        <w:t>      </w:t>
      </w:r>
      <w:r w:rsidRPr="00730FF8">
        <w:rPr>
          <w:rFonts w:ascii="Tahoma" w:eastAsia="Times New Roman" w:hAnsi="Tahoma" w:cs="Tahoma"/>
          <w:color w:val="4A4A4A"/>
          <w:sz w:val="12"/>
          <w:lang w:eastAsia="ru-RU"/>
        </w:rPr>
        <w:t> </w:t>
      </w:r>
      <w:r w:rsidRPr="00730FF8">
        <w:rPr>
          <w:rFonts w:ascii="Tahoma" w:eastAsia="Times New Roman" w:hAnsi="Tahoma" w:cs="Tahoma"/>
          <w:b/>
          <w:bCs/>
          <w:color w:val="4A4A4A"/>
          <w:sz w:val="12"/>
          <w:szCs w:val="12"/>
          <w:lang w:val="uk-UA" w:eastAsia="ru-RU"/>
        </w:rPr>
        <w:t>В.В.Казаков</w:t>
      </w:r>
    </w:p>
    <w:p w:rsidR="00730FF8" w:rsidRPr="00730FF8" w:rsidRDefault="00730FF8" w:rsidP="00730FF8">
      <w:pPr>
        <w:shd w:val="clear" w:color="auto" w:fill="FFFFFF"/>
        <w:spacing w:after="180" w:line="360" w:lineRule="atLeast"/>
        <w:ind w:firstLine="720"/>
        <w:rPr>
          <w:rFonts w:ascii="Tahoma" w:eastAsia="Times New Roman" w:hAnsi="Tahoma" w:cs="Tahoma"/>
          <w:color w:val="4A4A4A"/>
          <w:sz w:val="12"/>
          <w:szCs w:val="12"/>
          <w:lang w:eastAsia="ru-RU"/>
        </w:rPr>
      </w:pPr>
    </w:p>
    <w:p w:rsidR="00730FF8" w:rsidRPr="00730FF8" w:rsidRDefault="00730FF8" w:rsidP="00730FF8">
      <w:pPr>
        <w:shd w:val="clear" w:color="auto" w:fill="FFFFFF"/>
        <w:spacing w:after="180" w:line="360" w:lineRule="atLeast"/>
        <w:ind w:left="6120"/>
        <w:jc w:val="right"/>
        <w:rPr>
          <w:rFonts w:ascii="Tahoma" w:eastAsia="Times New Roman" w:hAnsi="Tahoma" w:cs="Tahoma"/>
          <w:color w:val="4A4A4A"/>
          <w:sz w:val="12"/>
          <w:szCs w:val="12"/>
          <w:lang w:eastAsia="ru-RU"/>
        </w:rPr>
      </w:pPr>
      <w:r w:rsidRPr="00730FF8">
        <w:rPr>
          <w:rFonts w:ascii="Tahoma" w:eastAsia="Times New Roman" w:hAnsi="Tahoma" w:cs="Tahoma"/>
          <w:i/>
          <w:iCs/>
          <w:color w:val="4A4A4A"/>
          <w:sz w:val="12"/>
          <w:lang w:eastAsia="ru-RU"/>
        </w:rPr>
        <w:t>Додаток</w:t>
      </w:r>
    </w:p>
    <w:p w:rsidR="00730FF8" w:rsidRPr="00730FF8" w:rsidRDefault="00730FF8" w:rsidP="00730FF8">
      <w:pPr>
        <w:shd w:val="clear" w:color="auto" w:fill="FFFFFF"/>
        <w:spacing w:after="180" w:line="360" w:lineRule="atLeast"/>
        <w:jc w:val="right"/>
        <w:rPr>
          <w:rFonts w:ascii="Tahoma" w:eastAsia="Times New Roman" w:hAnsi="Tahoma" w:cs="Tahoma"/>
          <w:color w:val="4A4A4A"/>
          <w:sz w:val="12"/>
          <w:szCs w:val="12"/>
          <w:lang w:eastAsia="ru-RU"/>
        </w:rPr>
      </w:pPr>
      <w:r w:rsidRPr="00730FF8">
        <w:rPr>
          <w:rFonts w:ascii="Tahoma" w:eastAsia="Times New Roman" w:hAnsi="Tahoma" w:cs="Tahoma"/>
          <w:i/>
          <w:iCs/>
          <w:color w:val="4A4A4A"/>
          <w:sz w:val="12"/>
          <w:lang w:eastAsia="ru-RU"/>
        </w:rPr>
        <w:t>до рішення сесії</w:t>
      </w:r>
    </w:p>
    <w:p w:rsidR="00730FF8" w:rsidRPr="00730FF8" w:rsidRDefault="00730FF8" w:rsidP="00730FF8">
      <w:pPr>
        <w:shd w:val="clear" w:color="auto" w:fill="FFFFFF"/>
        <w:spacing w:after="180" w:line="360" w:lineRule="atLeast"/>
        <w:jc w:val="right"/>
        <w:rPr>
          <w:rFonts w:ascii="Tahoma" w:eastAsia="Times New Roman" w:hAnsi="Tahoma" w:cs="Tahoma"/>
          <w:color w:val="4A4A4A"/>
          <w:sz w:val="12"/>
          <w:szCs w:val="12"/>
          <w:lang w:eastAsia="ru-RU"/>
        </w:rPr>
      </w:pPr>
      <w:r w:rsidRPr="00730FF8">
        <w:rPr>
          <w:rFonts w:ascii="Tahoma" w:eastAsia="Times New Roman" w:hAnsi="Tahoma" w:cs="Tahoma"/>
          <w:i/>
          <w:iCs/>
          <w:color w:val="4A4A4A"/>
          <w:sz w:val="12"/>
          <w:lang w:eastAsia="ru-RU"/>
        </w:rPr>
        <w:t>від «28» березня 2013 року</w:t>
      </w:r>
    </w:p>
    <w:p w:rsidR="00730FF8" w:rsidRPr="00730FF8" w:rsidRDefault="00730FF8" w:rsidP="00730FF8">
      <w:pPr>
        <w:shd w:val="clear" w:color="auto" w:fill="FFFFFF"/>
        <w:spacing w:after="180" w:line="360" w:lineRule="atLeast"/>
        <w:jc w:val="right"/>
        <w:rPr>
          <w:rFonts w:ascii="Tahoma" w:eastAsia="Times New Roman" w:hAnsi="Tahoma" w:cs="Tahoma"/>
          <w:color w:val="4A4A4A"/>
          <w:sz w:val="12"/>
          <w:szCs w:val="12"/>
          <w:lang w:eastAsia="ru-RU"/>
        </w:rPr>
      </w:pPr>
      <w:r w:rsidRPr="00730FF8">
        <w:rPr>
          <w:rFonts w:ascii="Tahoma" w:eastAsia="Times New Roman" w:hAnsi="Tahoma" w:cs="Tahoma"/>
          <w:i/>
          <w:iCs/>
          <w:color w:val="4A4A4A"/>
          <w:sz w:val="12"/>
          <w:lang w:eastAsia="ru-RU"/>
        </w:rPr>
        <w:lastRenderedPageBreak/>
        <w:t>№ 2572</w:t>
      </w:r>
    </w:p>
    <w:p w:rsidR="00730FF8" w:rsidRPr="00730FF8" w:rsidRDefault="00730FF8" w:rsidP="00730FF8">
      <w:pPr>
        <w:shd w:val="clear" w:color="auto" w:fill="FFFFFF"/>
        <w:spacing w:after="180" w:line="360" w:lineRule="atLeast"/>
        <w:jc w:val="right"/>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 </w:t>
      </w:r>
    </w:p>
    <w:p w:rsidR="00730FF8" w:rsidRPr="00730FF8" w:rsidRDefault="00730FF8" w:rsidP="00730FF8">
      <w:pPr>
        <w:shd w:val="clear" w:color="auto" w:fill="FFFFFF"/>
        <w:spacing w:after="180" w:line="360" w:lineRule="atLeast"/>
        <w:jc w:val="center"/>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 </w:t>
      </w:r>
    </w:p>
    <w:p w:rsidR="00730FF8" w:rsidRPr="00730FF8" w:rsidRDefault="00730FF8" w:rsidP="00730FF8">
      <w:pPr>
        <w:shd w:val="clear" w:color="auto" w:fill="FFFFFF"/>
        <w:spacing w:after="180" w:line="360" w:lineRule="atLeast"/>
        <w:jc w:val="center"/>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Щорічний звіт</w:t>
      </w:r>
    </w:p>
    <w:p w:rsidR="00730FF8" w:rsidRPr="00730FF8" w:rsidRDefault="00730FF8" w:rsidP="00730FF8">
      <w:pPr>
        <w:shd w:val="clear" w:color="auto" w:fill="FFFFFF"/>
        <w:spacing w:after="180" w:line="360" w:lineRule="atLeast"/>
        <w:jc w:val="center"/>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про хід виконання у 2012 році цільової соціальної програми захисту населення і територій Сєвєродонецької міської ради від надзвичайних ситуацій</w:t>
      </w:r>
    </w:p>
    <w:p w:rsidR="00730FF8" w:rsidRPr="00730FF8" w:rsidRDefault="00730FF8" w:rsidP="00730FF8">
      <w:pPr>
        <w:shd w:val="clear" w:color="auto" w:fill="FFFFFF"/>
        <w:spacing w:after="180" w:line="360" w:lineRule="atLeast"/>
        <w:jc w:val="center"/>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 техногенного та природного характеру на 2012-2016 роки</w:t>
      </w:r>
    </w:p>
    <w:p w:rsidR="00730FF8" w:rsidRPr="00730FF8" w:rsidRDefault="00730FF8" w:rsidP="00730FF8">
      <w:pPr>
        <w:shd w:val="clear" w:color="auto" w:fill="FFFFFF"/>
        <w:spacing w:after="180" w:line="360" w:lineRule="atLeast"/>
        <w:ind w:firstLine="872"/>
        <w:jc w:val="center"/>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1. Основні дані.</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Метою програми є послідовне 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природних та екологічних факторів, своєчасного реагування на аварійні ситуації, зниження кількості постраждалих і матеріальних збитків.</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Програма затверджена рішенням двадцять четвертої (чергової) сесії Сєвєродонецької міської ради шостого скликання № 969 від 27.10.2011 р.</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Виконавці програми: відділ цивільного захисту, екологічної безпеки та охорони праці міської ради, фінансове управлінні міської ради, управління житлово-комунального господарства міської ради, управління охорони здоров’я міської ради, відділ освіти міської ради, відділ культури міської ради, відділ у справах сім’ї, молоді та спорту міської ради, відділ бухгалтерського обліку та звітності міської ради, відділ капітального будівництва міської ради, підприємства, установи і організації міста.</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Строк виконання програми: 2012-2016 роки.</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2. Виконання завдань і заходів.</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 </w:t>
      </w:r>
    </w:p>
    <w:tbl>
      <w:tblPr>
        <w:tblW w:w="0" w:type="auto"/>
        <w:tblInd w:w="-46" w:type="dxa"/>
        <w:shd w:val="clear" w:color="auto" w:fill="FFFFFF"/>
        <w:tblCellMar>
          <w:left w:w="0" w:type="dxa"/>
          <w:right w:w="0" w:type="dxa"/>
        </w:tblCellMar>
        <w:tblLook w:val="04A0"/>
      </w:tblPr>
      <w:tblGrid>
        <w:gridCol w:w="488"/>
        <w:gridCol w:w="1726"/>
        <w:gridCol w:w="2438"/>
        <w:gridCol w:w="1531"/>
        <w:gridCol w:w="1070"/>
        <w:gridCol w:w="1229"/>
        <w:gridCol w:w="1135"/>
      </w:tblGrid>
      <w:tr w:rsidR="00730FF8" w:rsidRPr="00730FF8" w:rsidTr="00730FF8">
        <w:tc>
          <w:tcPr>
            <w:tcW w:w="51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 з/</w:t>
            </w:r>
            <w:r w:rsidRPr="00730FF8">
              <w:rPr>
                <w:rFonts w:ascii="Times New Roman" w:eastAsia="Times New Roman" w:hAnsi="Times New Roman" w:cs="Times New Roman"/>
                <w:color w:val="4A4A4A"/>
                <w:sz w:val="24"/>
                <w:szCs w:val="24"/>
                <w:lang w:val="uk-UA" w:eastAsia="ru-RU"/>
              </w:rPr>
              <w:lastRenderedPageBreak/>
              <w:t>п</w:t>
            </w:r>
          </w:p>
        </w:tc>
        <w:tc>
          <w:tcPr>
            <w:tcW w:w="175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 xml:space="preserve">Назва напрямку </w:t>
            </w:r>
            <w:r w:rsidRPr="00730FF8">
              <w:rPr>
                <w:rFonts w:ascii="Times New Roman" w:eastAsia="Times New Roman" w:hAnsi="Times New Roman" w:cs="Times New Roman"/>
                <w:color w:val="4A4A4A"/>
                <w:sz w:val="24"/>
                <w:szCs w:val="24"/>
                <w:lang w:val="uk-UA" w:eastAsia="ru-RU"/>
              </w:rPr>
              <w:lastRenderedPageBreak/>
              <w:t>діяльності (приоритетні завдання)</w:t>
            </w:r>
          </w:p>
        </w:tc>
        <w:tc>
          <w:tcPr>
            <w:tcW w:w="280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Перелік заходів</w:t>
            </w:r>
          </w:p>
        </w:tc>
        <w:tc>
          <w:tcPr>
            <w:tcW w:w="163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Джерела фінансуванн</w:t>
            </w:r>
            <w:r w:rsidRPr="00730FF8">
              <w:rPr>
                <w:rFonts w:ascii="Times New Roman" w:eastAsia="Times New Roman" w:hAnsi="Times New Roman" w:cs="Times New Roman"/>
                <w:color w:val="4A4A4A"/>
                <w:sz w:val="24"/>
                <w:szCs w:val="24"/>
                <w:lang w:val="uk-UA" w:eastAsia="ru-RU"/>
              </w:rPr>
              <w:lastRenderedPageBreak/>
              <w:t>я</w:t>
            </w:r>
          </w:p>
        </w:tc>
        <w:tc>
          <w:tcPr>
            <w:tcW w:w="189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Обсяги фінансування,</w:t>
            </w:r>
          </w:p>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тис. грн.</w:t>
            </w:r>
          </w:p>
        </w:tc>
        <w:tc>
          <w:tcPr>
            <w:tcW w:w="121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line="360" w:lineRule="atLeast"/>
              <w:ind w:left="-94" w:right="-94"/>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Примітка</w:t>
            </w:r>
          </w:p>
        </w:tc>
      </w:tr>
      <w:tr w:rsidR="00730FF8" w:rsidRPr="00730FF8" w:rsidTr="00730FF8">
        <w:trPr>
          <w:trHeight w:val="1218"/>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Заплано-вано</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Профінан-совано</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r>
      <w:tr w:rsidR="00730FF8" w:rsidRPr="00730FF8" w:rsidTr="00730FF8">
        <w:trPr>
          <w:trHeight w:val="70"/>
        </w:trPr>
        <w:tc>
          <w:tcPr>
            <w:tcW w:w="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7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1</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7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2</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7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3</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7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4</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7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5</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7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6</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7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7</w:t>
            </w:r>
          </w:p>
        </w:tc>
      </w:tr>
      <w:tr w:rsidR="00730FF8" w:rsidRPr="00730FF8" w:rsidTr="00730FF8">
        <w:tc>
          <w:tcPr>
            <w:tcW w:w="51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w:t>
            </w:r>
          </w:p>
        </w:tc>
        <w:tc>
          <w:tcPr>
            <w:tcW w:w="17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ind w:left="-52"/>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Вдосконалення системи реагування на надзвичайні ситуації</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38"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1.1. Створення резервного фонду міського бюджету</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100,0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138,5</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38"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1.2 Укладання договорів з підприємствами міста на створення міського матеріального резерву для запобігання і ліквідації надзвичайних ситуацій</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180,0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178,4</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1595"/>
        </w:trPr>
        <w:tc>
          <w:tcPr>
            <w:tcW w:w="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38"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1.3. Створення резерву коштів на ліквідацію лісових пожеж та їх наслідків</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94" w:right="-108"/>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фонд охорони навколишнього природного середовища</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25,0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25,0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c>
          <w:tcPr>
            <w:tcW w:w="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1</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2</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3</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4</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5</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6</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7</w:t>
            </w:r>
          </w:p>
        </w:tc>
      </w:tr>
      <w:tr w:rsidR="00730FF8" w:rsidRPr="00730FF8" w:rsidTr="00730FF8">
        <w:trPr>
          <w:trHeight w:val="1051"/>
        </w:trPr>
        <w:tc>
          <w:tcPr>
            <w:tcW w:w="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1.4. Створення резерву коштів на ліквідацію наслідків буреломів, сніголамів, вітровалів</w:t>
            </w:r>
          </w:p>
          <w:p w:rsidR="00730FF8" w:rsidRPr="00730FF8" w:rsidRDefault="00730FF8" w:rsidP="00730FF8">
            <w:pPr>
              <w:spacing w:line="360" w:lineRule="atLeast"/>
              <w:ind w:left="-52"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 </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94" w:right="-108"/>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фонд охорони навколишнього природного середовища</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20,0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20,0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1104"/>
        </w:trPr>
        <w:tc>
          <w:tcPr>
            <w:tcW w:w="51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w:t>
            </w:r>
          </w:p>
        </w:tc>
        <w:tc>
          <w:tcPr>
            <w:tcW w:w="17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82" w:right="-52"/>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 xml:space="preserve">Забезпечення захисту населення і територій від надзвичайних ситуацій у </w:t>
            </w:r>
            <w:r w:rsidRPr="00730FF8">
              <w:rPr>
                <w:rFonts w:ascii="Times New Roman" w:eastAsia="Times New Roman" w:hAnsi="Times New Roman" w:cs="Times New Roman"/>
                <w:color w:val="4A4A4A"/>
                <w:sz w:val="24"/>
                <w:szCs w:val="24"/>
                <w:lang w:val="uk-UA" w:eastAsia="ru-RU"/>
              </w:rPr>
              <w:lastRenderedPageBreak/>
              <w:t>мирний час </w:t>
            </w:r>
          </w:p>
          <w:p w:rsidR="00730FF8" w:rsidRPr="00730FF8" w:rsidRDefault="00730FF8" w:rsidP="00730FF8">
            <w:pPr>
              <w:spacing w:line="360" w:lineRule="atLeast"/>
              <w:ind w:left="-82" w:right="-52"/>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та в особливий період</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2.2. Проведення технічної інвентаризації захисних споруд цивільного захисту (цивільної оборони)</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66" w:right="-80"/>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80" w:right="-94"/>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11,194</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66" w:right="-52"/>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Проведена інвента-ризація 6захисних споруд</w:t>
            </w:r>
          </w:p>
        </w:tc>
      </w:tr>
      <w:tr w:rsidR="00730FF8" w:rsidRPr="00730FF8" w:rsidTr="00730FF8">
        <w:trPr>
          <w:trHeight w:val="132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2.3. Утримання захисних споруд цивільного захисту (цивільної оборони) відповідно до вимог нормативних документів</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80"/>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345,0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199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280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2.5. Накопичення засобів індивідуального захисту органів дихання від бойових отруйних та небезпечних хімічних речовин для забезпечення населення</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Державний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4324,0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66" w:right="-94"/>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Заходи не профінан-совано.</w:t>
            </w:r>
          </w:p>
          <w:p w:rsidR="00730FF8" w:rsidRPr="00730FF8" w:rsidRDefault="00730FF8" w:rsidP="00730FF8">
            <w:pPr>
              <w:spacing w:line="360" w:lineRule="atLeast"/>
              <w:ind w:left="-162" w:right="-110"/>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Замовлен-ня міської ради</w:t>
            </w:r>
          </w:p>
          <w:p w:rsidR="00730FF8" w:rsidRPr="00730FF8" w:rsidRDefault="00730FF8" w:rsidP="00730FF8">
            <w:pPr>
              <w:spacing w:line="360" w:lineRule="atLeast"/>
              <w:ind w:left="-120" w:right="-110"/>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№2366 від 21.04.2011р</w:t>
            </w:r>
          </w:p>
        </w:tc>
      </w:tr>
      <w:tr w:rsidR="00730FF8" w:rsidRPr="00730FF8" w:rsidTr="00730FF8">
        <w:trPr>
          <w:trHeight w:val="202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Обласний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3245,0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ind w:right="-94"/>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Заходи не профінан-совано.</w:t>
            </w:r>
          </w:p>
          <w:p w:rsidR="00730FF8" w:rsidRPr="00730FF8" w:rsidRDefault="00730FF8" w:rsidP="00730FF8">
            <w:pPr>
              <w:spacing w:line="360" w:lineRule="atLeast"/>
              <w:ind w:left="-108" w:right="-122"/>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Замовлення міської ради №2366 від 21.04.2011р</w:t>
            </w:r>
          </w:p>
        </w:tc>
      </w:tr>
      <w:tr w:rsidR="00730FF8" w:rsidRPr="00730FF8" w:rsidTr="00730FF8">
        <w:trPr>
          <w:trHeight w:val="34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86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3124,0</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2805,9</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629"/>
        </w:trPr>
        <w:tc>
          <w:tcPr>
            <w:tcW w:w="51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3</w:t>
            </w:r>
          </w:p>
        </w:tc>
        <w:tc>
          <w:tcPr>
            <w:tcW w:w="17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82" w:right="-66"/>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 xml:space="preserve">Забезпечення протипожежного захисту житлового фонду та об’єктів соціальної </w:t>
            </w:r>
            <w:r w:rsidRPr="00730FF8">
              <w:rPr>
                <w:rFonts w:ascii="Times New Roman" w:eastAsia="Times New Roman" w:hAnsi="Times New Roman" w:cs="Times New Roman"/>
                <w:color w:val="4A4A4A"/>
                <w:sz w:val="24"/>
                <w:szCs w:val="24"/>
                <w:lang w:val="uk-UA" w:eastAsia="ru-RU"/>
              </w:rPr>
              <w:lastRenderedPageBreak/>
              <w:t>сфери</w:t>
            </w:r>
          </w:p>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c>
          <w:tcPr>
            <w:tcW w:w="280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3.1. Придбання засобів пожежогасіння Впровадження автоматичних систем протипожежної сигналізації</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66"/>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486,5</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86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66"/>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0,642</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49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280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38"/>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3.2. Проведення заміру опору ізоляції електричних мереж</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1" w:right="-68"/>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77,881</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rPr>
          <w:trHeight w:val="8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87"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87" w:lineRule="atLeast"/>
              <w:ind w:left="-52" w:right="-66"/>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87"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110,93</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87"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c>
          <w:tcPr>
            <w:tcW w:w="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1</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2</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3</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4</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5</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6</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16"/>
                <w:szCs w:val="16"/>
                <w:lang w:val="uk-UA" w:eastAsia="ru-RU"/>
              </w:rPr>
              <w:t>7</w:t>
            </w:r>
          </w:p>
        </w:tc>
      </w:tr>
      <w:tr w:rsidR="00730FF8" w:rsidRPr="00730FF8" w:rsidTr="00730FF8">
        <w:tc>
          <w:tcPr>
            <w:tcW w:w="51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both"/>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c>
          <w:tcPr>
            <w:tcW w:w="17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c>
          <w:tcPr>
            <w:tcW w:w="280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86"/>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3.3. Проведення вогнестійкої обробки дерев’яних конструкцій</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Міський бюджет</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94" w:right="-66"/>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112,25</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94" w:right="-66"/>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6,0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c>
          <w:tcPr>
            <w:tcW w:w="51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4</w:t>
            </w:r>
          </w:p>
        </w:tc>
        <w:tc>
          <w:tcPr>
            <w:tcW w:w="17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4" w:right="-66"/>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Здійснення організаційних та спеціальних заходів щодо запобігання виникнення надзвичайних ситуацій</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86"/>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4.1. Впровадження систем раннього виявлення надзвичайних ситуацій  та оповіщення людей у разі їх виникнення</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94" w:right="-66"/>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129,9</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108" w:right="-94"/>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Впровад-жена на 1 підприєм-стві</w:t>
            </w:r>
          </w:p>
        </w:tc>
      </w:tr>
      <w:tr w:rsidR="00730FF8" w:rsidRPr="00730FF8" w:rsidTr="00730FF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86"/>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4.2. Проведення паспортизації потенційно небезпечних об’єктів</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94" w:right="-66"/>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730FF8" w:rsidRPr="00730FF8" w:rsidRDefault="00730FF8" w:rsidP="00730FF8">
            <w:pPr>
              <w:rPr>
                <w:rFonts w:ascii="Times New Roman" w:eastAsia="Times New Roman" w:hAnsi="Times New Roman" w:cs="Times New Roman"/>
                <w:color w:val="4A4A4A"/>
                <w:sz w:val="24"/>
                <w:szCs w:val="24"/>
                <w:lang w:eastAsia="ru-RU"/>
              </w:rPr>
            </w:pP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2" w:right="-86"/>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4.3. Виконання першо-чергових запобіжних заходів та робіт на об’єктах і територіях з ризиком виникнення надзвичайних ситуацій</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66" w:right="-52"/>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4283,0</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0"/>
                <w:szCs w:val="20"/>
                <w:lang w:val="uk-UA" w:eastAsia="ru-RU"/>
              </w:rPr>
              <w:t> </w:t>
            </w:r>
          </w:p>
        </w:tc>
      </w:tr>
      <w:tr w:rsidR="00730FF8" w:rsidRPr="00730FF8" w:rsidTr="00730FF8">
        <w:tc>
          <w:tcPr>
            <w:tcW w:w="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5</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54" w:right="-66"/>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Створення страхового фонду документації</w:t>
            </w:r>
          </w:p>
        </w:tc>
        <w:tc>
          <w:tcPr>
            <w:tcW w:w="2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38" w:right="-52"/>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 xml:space="preserve">5.1. Виготовлення документів страхового фонду документації відповідно до Порядку створення, </w:t>
            </w:r>
            <w:r w:rsidRPr="00730FF8">
              <w:rPr>
                <w:rFonts w:ascii="Times New Roman" w:eastAsia="Times New Roman" w:hAnsi="Times New Roman" w:cs="Times New Roman"/>
                <w:color w:val="4A4A4A"/>
                <w:sz w:val="24"/>
                <w:szCs w:val="24"/>
                <w:lang w:val="uk-UA" w:eastAsia="ru-RU"/>
              </w:rPr>
              <w:lastRenderedPageBreak/>
              <w:t>затвердженого рішенням виконавчого комітету міської ради    № 73 від 25.01.2011 року</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lastRenderedPageBreak/>
              <w:t>Кошти підприємств, установ і організацій</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66" w:right="-52"/>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не визна-чалися</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after="180" w:line="360" w:lineRule="atLeast"/>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18,975</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FF8" w:rsidRPr="00730FF8" w:rsidRDefault="00730FF8" w:rsidP="00730FF8">
            <w:pPr>
              <w:spacing w:line="360" w:lineRule="atLeast"/>
              <w:ind w:left="-80" w:right="-94"/>
              <w:jc w:val="center"/>
              <w:rPr>
                <w:rFonts w:ascii="Times New Roman" w:eastAsia="Times New Roman" w:hAnsi="Times New Roman" w:cs="Times New Roman"/>
                <w:color w:val="4A4A4A"/>
                <w:sz w:val="24"/>
                <w:szCs w:val="24"/>
                <w:lang w:eastAsia="ru-RU"/>
              </w:rPr>
            </w:pPr>
            <w:r w:rsidRPr="00730FF8">
              <w:rPr>
                <w:rFonts w:ascii="Times New Roman" w:eastAsia="Times New Roman" w:hAnsi="Times New Roman" w:cs="Times New Roman"/>
                <w:color w:val="4A4A4A"/>
                <w:sz w:val="24"/>
                <w:szCs w:val="24"/>
                <w:lang w:val="uk-UA" w:eastAsia="ru-RU"/>
              </w:rPr>
              <w:t>Виготов-лено на 11 об’єктів</w:t>
            </w:r>
          </w:p>
        </w:tc>
      </w:tr>
    </w:tbl>
    <w:p w:rsidR="00730FF8" w:rsidRPr="00730FF8" w:rsidRDefault="00730FF8" w:rsidP="00730FF8">
      <w:pPr>
        <w:shd w:val="clear" w:color="auto" w:fill="FFFFFF"/>
        <w:spacing w:after="180" w:line="360" w:lineRule="atLeast"/>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lastRenderedPageBreak/>
        <w:t> </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3. Оцінка ефективності програми.</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В результаті виконання завдань і заходів програми:</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здійснюються заходи щодо запобігання та оперативного реагування на надзвичайні ситуації техногенного та природного характеру;</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забезпечується захист населення і територій від надзвичайних ситуацій техногенного та природного характеру;</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забезпечується протипожежний захист житлового фонду та об’єктів соціальної сфери;</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створюється страховий фонд документації об’єктів міста.</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4. Фінансування.</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З міського бюджету планувалось фінансування заходів програми у сумі 280,0 тис. грн., фактично профінансовано на суму 993,531 тис. грн.</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З міського  фонду охорони навколишнього природного середовища планувалось фінансування заходів програми у сумі 45,0 тис. грн., фактично профінансовано на суму</w:t>
      </w:r>
    </w:p>
    <w:p w:rsidR="00730FF8" w:rsidRPr="00730FF8" w:rsidRDefault="00730FF8" w:rsidP="00730FF8">
      <w:pPr>
        <w:shd w:val="clear" w:color="auto" w:fill="FFFFFF"/>
        <w:spacing w:after="180" w:line="360" w:lineRule="atLeast"/>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45,0 тис. грн.</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З обласного бюджету планувалось фінансування заходів програми у сумі 3245,0 тис. грн., фактично заходи не профінансовано.</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З державного бюджету планувалось фінансування заходів програми у сумі 4324,0 тис. грн., фактично заходи не профінансовано.</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За кошти підприємств, установ і організацій міста планувалось фінансування заходів програми у сумі 3134,0 тис. грн., фактично профінансовано на суму 7711,541 тис. грн.</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b/>
          <w:bCs/>
          <w:color w:val="4A4A4A"/>
          <w:sz w:val="24"/>
          <w:szCs w:val="24"/>
          <w:lang w:val="uk-UA" w:eastAsia="ru-RU"/>
        </w:rPr>
        <w:t>5. Пропозиції щодо забезпечення подальшого виконання.</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lastRenderedPageBreak/>
        <w:t>З метою забезпечення подальшого виконання заходів програми необхідно:</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додержуватись строків виконання та обсягів фінансування заходів;</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здійснювати більш дієвий контроль та посилити відповідальність виконавців.</w:t>
      </w:r>
    </w:p>
    <w:p w:rsidR="00730FF8" w:rsidRPr="00730FF8" w:rsidRDefault="00730FF8" w:rsidP="00730FF8">
      <w:pPr>
        <w:shd w:val="clear" w:color="auto" w:fill="FFFFFF"/>
        <w:spacing w:after="180" w:line="360" w:lineRule="atLeast"/>
        <w:ind w:firstLine="872"/>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180" w:line="360" w:lineRule="atLeast"/>
        <w:jc w:val="both"/>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 </w:t>
      </w:r>
    </w:p>
    <w:p w:rsidR="00730FF8" w:rsidRPr="00730FF8" w:rsidRDefault="00730FF8" w:rsidP="00730FF8">
      <w:pPr>
        <w:shd w:val="clear" w:color="auto" w:fill="FFFFFF"/>
        <w:spacing w:after="180" w:line="360" w:lineRule="atLeast"/>
        <w:rPr>
          <w:rFonts w:ascii="Tahoma" w:eastAsia="Times New Roman" w:hAnsi="Tahoma" w:cs="Tahoma"/>
          <w:color w:val="4A4A4A"/>
          <w:sz w:val="12"/>
          <w:szCs w:val="12"/>
          <w:lang w:eastAsia="ru-RU"/>
        </w:rPr>
      </w:pPr>
      <w:r w:rsidRPr="00730FF8">
        <w:rPr>
          <w:rFonts w:ascii="Tahoma" w:eastAsia="Times New Roman" w:hAnsi="Tahoma" w:cs="Tahoma"/>
          <w:color w:val="4A4A4A"/>
          <w:sz w:val="24"/>
          <w:szCs w:val="24"/>
          <w:lang w:val="uk-UA" w:eastAsia="ru-RU"/>
        </w:rPr>
        <w:t>Секретар міської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730FF8"/>
    <w:rsid w:val="002D1DD4"/>
    <w:rsid w:val="00730FF8"/>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730FF8"/>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7">
    <w:name w:val="heading 7"/>
    <w:basedOn w:val="a"/>
    <w:link w:val="70"/>
    <w:uiPriority w:val="9"/>
    <w:qFormat/>
    <w:rsid w:val="00730FF8"/>
    <w:pPr>
      <w:spacing w:before="100" w:beforeAutospacing="1" w:after="100" w:afterAutospacing="1"/>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0FF8"/>
    <w:rPr>
      <w:rFonts w:ascii="Times New Roman" w:eastAsia="Times New Roman" w:hAnsi="Times New Roman" w:cs="Times New Roman"/>
      <w:b/>
      <w:bCs/>
      <w:sz w:val="36"/>
      <w:szCs w:val="36"/>
      <w:lang w:eastAsia="ru-RU"/>
    </w:rPr>
  </w:style>
  <w:style w:type="character" w:customStyle="1" w:styleId="70">
    <w:name w:val="Заголовок 7 Знак"/>
    <w:basedOn w:val="a0"/>
    <w:link w:val="7"/>
    <w:uiPriority w:val="9"/>
    <w:rsid w:val="00730FF8"/>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30FF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0FF8"/>
  </w:style>
  <w:style w:type="paragraph" w:styleId="21">
    <w:name w:val="Body Text 2"/>
    <w:basedOn w:val="a"/>
    <w:link w:val="22"/>
    <w:uiPriority w:val="99"/>
    <w:semiHidden/>
    <w:unhideWhenUsed/>
    <w:rsid w:val="00730FF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730FF8"/>
    <w:rPr>
      <w:rFonts w:ascii="Times New Roman" w:eastAsia="Times New Roman" w:hAnsi="Times New Roman" w:cs="Times New Roman"/>
      <w:sz w:val="24"/>
      <w:szCs w:val="24"/>
      <w:lang w:eastAsia="ru-RU"/>
    </w:rPr>
  </w:style>
  <w:style w:type="character" w:styleId="a4">
    <w:name w:val="Emphasis"/>
    <w:basedOn w:val="a0"/>
    <w:uiPriority w:val="20"/>
    <w:qFormat/>
    <w:rsid w:val="00730FF8"/>
    <w:rPr>
      <w:i/>
      <w:iCs/>
    </w:rPr>
  </w:style>
</w:styles>
</file>

<file path=word/webSettings.xml><?xml version="1.0" encoding="utf-8"?>
<w:webSettings xmlns:r="http://schemas.openxmlformats.org/officeDocument/2006/relationships" xmlns:w="http://schemas.openxmlformats.org/wordprocessingml/2006/main">
  <w:divs>
    <w:div w:id="2411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1138</Words>
  <Characters>6489</Characters>
  <Application>Microsoft Office Word</Application>
  <DocSecurity>0</DocSecurity>
  <Lines>54</Lines>
  <Paragraphs>15</Paragraphs>
  <ScaleCrop>false</ScaleCrop>
  <Company>Северодонецкие вести</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2016-05-23T12:45:00Z</dcterms:created>
  <dcterms:modified xsi:type="dcterms:W3CDTF">2016-05-23T12:45:00Z</dcterms:modified>
</cp:coreProperties>
</file>