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C7" w:rsidRPr="002C73C7" w:rsidRDefault="002C73C7" w:rsidP="002C73C7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СЄВЄРОДОНЕЦЬКА МІСЬКА РАДА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ШОСТОГО СКЛИКАННЯ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П’ятдесят  шоста  (чергова</w:t>
      </w:r>
      <w:r w:rsidRPr="002C73C7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) </w:t>
      </w:r>
      <w:r w:rsidRPr="002C73C7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сесія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РІШЕННЯ  №2443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24  </w:t>
      </w:r>
      <w:proofErr w:type="spellStart"/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 2013 року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м. </w:t>
      </w:r>
      <w:proofErr w:type="spellStart"/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</w:t>
      </w:r>
      <w:proofErr w:type="spellEnd"/>
    </w:p>
    <w:p w:rsidR="002C73C7" w:rsidRPr="002C73C7" w:rsidRDefault="002C73C7" w:rsidP="002C73C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28"/>
      </w:tblGrid>
      <w:tr w:rsidR="002C73C7" w:rsidRPr="002C73C7" w:rsidTr="002C73C7">
        <w:trPr>
          <w:trHeight w:val="460"/>
        </w:trPr>
        <w:tc>
          <w:tcPr>
            <w:tcW w:w="53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60"/>
              <w:outlineLvl w:val="1"/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 xml:space="preserve">Про затвердження розрахунку </w:t>
            </w:r>
            <w:proofErr w:type="spellStart"/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орендноїплати</w:t>
            </w:r>
            <w:proofErr w:type="spellEnd"/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 xml:space="preserve"> за земельну ділянку надану в оренду </w:t>
            </w:r>
            <w:proofErr w:type="spellStart"/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ДП</w:t>
            </w:r>
            <w:proofErr w:type="spellEnd"/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 xml:space="preserve"> «Центральний ринок міста </w:t>
            </w:r>
            <w:proofErr w:type="spellStart"/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Сєвєродонецька</w:t>
            </w:r>
            <w:proofErr w:type="spellEnd"/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»</w:t>
            </w: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eastAsia="ru-RU"/>
              </w:rPr>
              <w:t> </w:t>
            </w: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Луганської обласної спілки споживчих товариств</w:t>
            </w:r>
          </w:p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sz w:val="16"/>
                <w:szCs w:val="16"/>
                <w:lang w:val="uk-UA" w:eastAsia="ru-RU"/>
              </w:rPr>
              <w:t> </w:t>
            </w:r>
          </w:p>
        </w:tc>
      </w:tr>
    </w:tbl>
    <w:p w:rsidR="002C73C7" w:rsidRPr="002C73C7" w:rsidRDefault="002C73C7" w:rsidP="002C73C7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     Керуючись ст. 276.5, 288.5.2.  Податкового кодексу України, ст. 21, 23 Закону України «Про оренду землі», ст. 26 Закону України «Про місцеве самоврядування в  Україні», розглянувши звернення </w:t>
      </w:r>
      <w:proofErr w:type="spellStart"/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ДП</w:t>
      </w:r>
      <w:proofErr w:type="spellEnd"/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«Центральний ринок міста </w:t>
      </w:r>
      <w:proofErr w:type="spellStart"/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» Луганської обласної спілки споживчих товариств,  щодо зменшення податкового навантаження, </w:t>
      </w: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з метою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досягнення балансу інтересів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орендодавця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і  орендаря, а також</w:t>
      </w: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недопущення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зростання ставок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на послуги,  що надаються  торгуючим  на ринку громадянам та </w:t>
      </w: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виключення  зростання цін та товари;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матеріалів, представлених відділом земельних відносин, беручі до уваги </w:t>
      </w: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пропозиції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міської ради (протокол №48 від 19.12.2012р.)</w:t>
      </w: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та рішення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комісії   </w:t>
      </w: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з питань будівництва, архітектури, земельних відносин, охорони навколишнього середовища та розвитку селищ,  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міська рада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</w:t>
      </w:r>
      <w:r w:rsidRPr="002C73C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    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1.  Встановити  коефіцієнт орендної плати Дочірньому  підприємству «Центральний  ринок  міста  </w:t>
      </w:r>
      <w:proofErr w:type="spellStart"/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» Луганської обласної спілки споживчих товариств, за земельну ділянку, надану </w:t>
      </w: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 під будівлю та споруди Центрального ринку, за адресою: м. </w:t>
      </w:r>
      <w:proofErr w:type="spellStart"/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Сєвєродонецьк</w:t>
      </w:r>
      <w:proofErr w:type="spellEnd"/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,  просп. Хіміків, буд. 27, на період з 01.01.2013р. по 31.12.2013р.,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 розмірі 8,0 відсотків від нормативної грошової оцінки земельної  ділянки, за умови </w:t>
      </w:r>
      <w:proofErr w:type="spellStart"/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недопущення</w:t>
      </w:r>
      <w:proofErr w:type="spellEnd"/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 </w:t>
      </w:r>
      <w:proofErr w:type="spellStart"/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зростання</w:t>
      </w:r>
      <w:proofErr w:type="spellEnd"/>
      <w:r w:rsidRPr="002C73C7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ставок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на послуги,  що надаються  торгуючим  на ринку громадянам.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lastRenderedPageBreak/>
        <w:t>         2. Затвердити розрахунок орендної плати (Додаток №1), за земельну ділянку, надану  </w:t>
      </w: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під будівлю та споруди Центрального ринку, за адресою: м. </w:t>
      </w:r>
      <w:proofErr w:type="spellStart"/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Сєвєродонецьк</w:t>
      </w:r>
      <w:proofErr w:type="spellEnd"/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, просп. Хіміків, буд. 27, згідно договору оренди землі 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№305  від  29.10.2004р.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3.  Доручити відділу земельних відносин укласти додаткову угоду до </w:t>
      </w: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договору оренди землі 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№305  від  29.10.2004р.</w:t>
      </w: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з  затвердженим  розрахунком орендної плати.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ind w:firstLine="18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    4.  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Дочірньому  підприємству «Центральний  ринок  міста  </w:t>
      </w:r>
      <w:proofErr w:type="spellStart"/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» Луганської обласної спілки споживчих товариств укласти додаткову угоду та здійснити державну реєстрацію права оренди  </w:t>
      </w:r>
      <w:r w:rsidRPr="002C73C7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у</w:t>
      </w: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встановленому  законодавством  порядку.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ind w:left="54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ind w:left="54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   Міський голова                                                                             В.В.Казаков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FFFFFF"/>
          <w:sz w:val="16"/>
          <w:szCs w:val="16"/>
          <w:lang w:val="uk-UA" w:eastAsia="ru-RU"/>
        </w:rPr>
        <w:t>ин                                                                         О.В.Кас</w:t>
      </w:r>
      <w:r w:rsidRPr="002C73C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`</w:t>
      </w:r>
      <w:r w:rsidRPr="002C73C7">
        <w:rPr>
          <w:rFonts w:ascii="Arial" w:eastAsia="Times New Roman" w:hAnsi="Arial" w:cs="Arial"/>
          <w:color w:val="FFFFFF"/>
          <w:sz w:val="16"/>
          <w:szCs w:val="16"/>
          <w:lang w:val="uk-UA" w:eastAsia="ru-RU"/>
        </w:rPr>
        <w:t>                                  В.Г.Кравченко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FFFFFF"/>
          <w:sz w:val="16"/>
          <w:szCs w:val="16"/>
          <w:lang w:val="uk-UA" w:eastAsia="ru-RU"/>
        </w:rPr>
        <w:t> 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2C73C7">
        <w:rPr>
          <w:rFonts w:ascii="Arial" w:eastAsia="Times New Roman" w:hAnsi="Arial" w:cs="Arial"/>
          <w:color w:val="FFFFFF"/>
          <w:sz w:val="16"/>
          <w:szCs w:val="16"/>
          <w:lang w:val="uk-UA" w:eastAsia="ru-RU"/>
        </w:rPr>
        <w:t>Гзвитку</w:t>
      </w:r>
      <w:proofErr w:type="spellEnd"/>
      <w:r w:rsidRPr="002C73C7">
        <w:rPr>
          <w:rFonts w:ascii="Arial" w:eastAsia="Times New Roman" w:hAnsi="Arial" w:cs="Arial"/>
          <w:color w:val="FFFFFF"/>
          <w:sz w:val="16"/>
          <w:szCs w:val="16"/>
          <w:lang w:val="uk-UA" w:eastAsia="ru-RU"/>
        </w:rPr>
        <w:t xml:space="preserve"> селищ                                                                             І.М.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FFFFFF"/>
          <w:sz w:val="16"/>
          <w:szCs w:val="16"/>
          <w:lang w:val="uk-UA" w:eastAsia="ru-RU"/>
        </w:rPr>
        <w:t> 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FFFFFF"/>
          <w:sz w:val="16"/>
          <w:szCs w:val="16"/>
          <w:lang w:val="uk-UA" w:eastAsia="ru-RU"/>
        </w:rPr>
        <w:t>Секретар ради                                                                                   А.А.Гавриленко</w:t>
      </w:r>
    </w:p>
    <w:p w:rsidR="002C73C7" w:rsidRPr="002C73C7" w:rsidRDefault="002C73C7" w:rsidP="002C73C7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FFFFFF"/>
          <w:sz w:val="16"/>
          <w:szCs w:val="16"/>
          <w:lang w:val="uk-UA" w:eastAsia="ru-RU"/>
        </w:rPr>
        <w:t> </w:t>
      </w:r>
    </w:p>
    <w:p w:rsidR="002C73C7" w:rsidRPr="002C73C7" w:rsidRDefault="002C73C7" w:rsidP="002C73C7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2C73C7">
        <w:rPr>
          <w:rFonts w:ascii="Arial" w:eastAsia="Times New Roman" w:hAnsi="Arial" w:cs="Arial"/>
          <w:color w:val="4A4A4A"/>
          <w:sz w:val="16"/>
          <w:szCs w:val="16"/>
          <w:shd w:val="clear" w:color="auto" w:fill="FFFFFF"/>
          <w:lang w:val="uk-UA" w:eastAsia="ru-RU"/>
        </w:rPr>
        <w:br w:type="textWrapping" w:clear="all"/>
      </w: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5"/>
        <w:gridCol w:w="821"/>
        <w:gridCol w:w="2134"/>
        <w:gridCol w:w="847"/>
        <w:gridCol w:w="649"/>
        <w:gridCol w:w="758"/>
        <w:gridCol w:w="761"/>
        <w:gridCol w:w="525"/>
        <w:gridCol w:w="709"/>
        <w:gridCol w:w="769"/>
      </w:tblGrid>
      <w:tr w:rsidR="002C73C7" w:rsidRPr="002C73C7" w:rsidTr="002C73C7">
        <w:trPr>
          <w:trHeight w:val="510"/>
        </w:trPr>
        <w:tc>
          <w:tcPr>
            <w:tcW w:w="14515" w:type="dxa"/>
            <w:gridSpan w:val="9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РОЗРАХУНОК                                           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Додаток №1 до рішення №2443 від 24.01.2013р.</w:t>
            </w:r>
          </w:p>
        </w:tc>
      </w:tr>
      <w:tr w:rsidR="002C73C7" w:rsidRPr="002C73C7" w:rsidTr="002C73C7">
        <w:trPr>
          <w:trHeight w:val="225"/>
        </w:trPr>
        <w:tc>
          <w:tcPr>
            <w:tcW w:w="14515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розміру орендної плати за земельні ділянки державної або комунальної власності, грошова оцінка яких проведена,  на 24 січня 2013 року</w:t>
            </w:r>
          </w:p>
          <w:p w:rsidR="002C73C7" w:rsidRPr="002C73C7" w:rsidRDefault="002C73C7" w:rsidP="002C73C7">
            <w:pPr>
              <w:spacing w:after="180" w:line="225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225" w:lineRule="atLeast"/>
              <w:ind w:hanging="208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2C73C7" w:rsidRPr="002C73C7" w:rsidTr="002C73C7">
        <w:trPr>
          <w:trHeight w:val="1230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lastRenderedPageBreak/>
              <w:t>Категорія земель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 xml:space="preserve">Площа, </w:t>
            </w:r>
            <w:proofErr w:type="spellStart"/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кв.метрів</w:t>
            </w:r>
            <w:proofErr w:type="spellEnd"/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 xml:space="preserve"> (в населених пунктах), гектарів (за межами населених пунктів)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Нормативна   грошова оцінка   земельної ділянки    на   28.04.2011р.                (дата)                  гривень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Ставка земельного податку, встановлена Законом України «Про плату за землю»,     відсотків нормативної грошової оцінки земельної ділянки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Добуток коефіцієнтів індексації грошової оцінки земельної ділянки за попередні роки</w:t>
            </w:r>
          </w:p>
        </w:tc>
        <w:tc>
          <w:tcPr>
            <w:tcW w:w="14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Прийнятий для розрахунку розміру орендної плати, відсотків нормативної грошової оцінки земельної ділянки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Розмір земельного податку, гривень</w:t>
            </w:r>
          </w:p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Коефіцієнт оренди</w:t>
            </w:r>
          </w:p>
        </w:tc>
        <w:tc>
          <w:tcPr>
            <w:tcW w:w="2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Розмір орендної плати,              </w:t>
            </w:r>
          </w:p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гривень</w:t>
            </w:r>
          </w:p>
        </w:tc>
      </w:tr>
      <w:tr w:rsidR="002C73C7" w:rsidRPr="002C73C7" w:rsidTr="002C73C7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3C7" w:rsidRPr="002C73C7" w:rsidRDefault="002C73C7" w:rsidP="002C73C7">
            <w:pPr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3C7" w:rsidRPr="002C73C7" w:rsidRDefault="002C73C7" w:rsidP="002C73C7">
            <w:pPr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3C7" w:rsidRPr="002C73C7" w:rsidRDefault="002C73C7" w:rsidP="002C73C7">
            <w:pPr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3C7" w:rsidRPr="002C73C7" w:rsidRDefault="002C73C7" w:rsidP="002C73C7">
            <w:pPr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3C7" w:rsidRPr="002C73C7" w:rsidRDefault="002C73C7" w:rsidP="002C73C7">
            <w:pPr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3C7" w:rsidRPr="002C73C7" w:rsidRDefault="002C73C7" w:rsidP="002C73C7">
            <w:pPr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73C7" w:rsidRPr="002C73C7" w:rsidRDefault="002C73C7" w:rsidP="002C73C7">
            <w:pPr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225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Рік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225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Місяць</w:t>
            </w:r>
          </w:p>
        </w:tc>
      </w:tr>
      <w:tr w:rsidR="002C73C7" w:rsidRPr="002C73C7" w:rsidTr="002C73C7">
        <w:trPr>
          <w:trHeight w:val="308"/>
        </w:trPr>
        <w:tc>
          <w:tcPr>
            <w:tcW w:w="1603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з 01.01.2013 р. по 31.12.2013р.</w:t>
            </w:r>
          </w:p>
        </w:tc>
      </w:tr>
      <w:tr w:rsidR="002C73C7" w:rsidRPr="002C73C7" w:rsidTr="002C73C7">
        <w:trPr>
          <w:trHeight w:val="259"/>
        </w:trPr>
        <w:tc>
          <w:tcPr>
            <w:tcW w:w="1603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№4412900000:05:052:0077</w:t>
            </w:r>
          </w:p>
        </w:tc>
      </w:tr>
      <w:tr w:rsidR="002C73C7" w:rsidRPr="002C73C7" w:rsidTr="002C73C7">
        <w:trPr>
          <w:trHeight w:val="52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землі комерційного використання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99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80653,32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1,00%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1,22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8.0%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806,5332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eastAsia="ru-RU"/>
              </w:rPr>
              <w:t>6452,27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eastAsia="ru-RU"/>
              </w:rPr>
              <w:t>537,69</w:t>
            </w:r>
          </w:p>
        </w:tc>
      </w:tr>
      <w:tr w:rsidR="002C73C7" w:rsidRPr="002C73C7" w:rsidTr="002C73C7">
        <w:trPr>
          <w:trHeight w:val="167"/>
        </w:trPr>
        <w:tc>
          <w:tcPr>
            <w:tcW w:w="1603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167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№4412900000:05:052:0076</w:t>
            </w:r>
          </w:p>
        </w:tc>
      </w:tr>
      <w:tr w:rsidR="002C73C7" w:rsidRPr="002C73C7" w:rsidTr="002C73C7">
        <w:trPr>
          <w:trHeight w:val="52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землі комерційного використання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29378,18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1,00%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1,22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8.0%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293,7818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eastAsia="ru-RU"/>
              </w:rPr>
              <w:t>2350,25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eastAsia="ru-RU"/>
              </w:rPr>
              <w:t>195,85</w:t>
            </w:r>
          </w:p>
        </w:tc>
      </w:tr>
      <w:tr w:rsidR="002C73C7" w:rsidRPr="002C73C7" w:rsidTr="002C73C7">
        <w:trPr>
          <w:trHeight w:val="171"/>
        </w:trPr>
        <w:tc>
          <w:tcPr>
            <w:tcW w:w="1603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171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№4412900000:05:052:0075</w:t>
            </w:r>
          </w:p>
        </w:tc>
      </w:tr>
      <w:tr w:rsidR="002C73C7" w:rsidRPr="002C73C7" w:rsidTr="002C73C7">
        <w:trPr>
          <w:trHeight w:val="49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землі комерційного використання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15560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13969923,60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1,00%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1,22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8.0%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139699,2360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1117593,89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 </w:t>
            </w:r>
          </w:p>
          <w:p w:rsidR="002C73C7" w:rsidRPr="002C73C7" w:rsidRDefault="002C73C7" w:rsidP="002C73C7">
            <w:pPr>
              <w:spacing w:after="180" w:line="360" w:lineRule="atLeast"/>
              <w:jc w:val="righ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93132,82</w:t>
            </w:r>
          </w:p>
        </w:tc>
      </w:tr>
      <w:tr w:rsidR="002C73C7" w:rsidRPr="002C73C7" w:rsidTr="002C73C7">
        <w:trPr>
          <w:trHeight w:val="349"/>
        </w:trPr>
        <w:tc>
          <w:tcPr>
            <w:tcW w:w="14515" w:type="dxa"/>
            <w:gridSpan w:val="9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lastRenderedPageBreak/>
              <w:t> </w:t>
            </w:r>
          </w:p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У межах  </w:t>
            </w:r>
            <w:proofErr w:type="spellStart"/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u w:val="single"/>
                <w:lang w:val="uk-UA" w:eastAsia="ru-RU"/>
              </w:rPr>
              <w:t>м.Сєвєродонецьк</w:t>
            </w:r>
            <w:proofErr w:type="spellEnd"/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u w:val="single"/>
                <w:lang w:val="uk-UA" w:eastAsia="ru-RU"/>
              </w:rPr>
              <w:t>, просп. Хіміків, 27</w:t>
            </w: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                                                 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2C73C7" w:rsidRPr="002C73C7" w:rsidTr="002C73C7">
        <w:trPr>
          <w:trHeight w:val="195"/>
        </w:trPr>
        <w:tc>
          <w:tcPr>
            <w:tcW w:w="14515" w:type="dxa"/>
            <w:gridSpan w:val="9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9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                      (Назва населеного пункту)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9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2C73C7" w:rsidRPr="002C73C7" w:rsidTr="002C73C7">
        <w:trPr>
          <w:trHeight w:val="189"/>
        </w:trPr>
        <w:tc>
          <w:tcPr>
            <w:tcW w:w="32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Разом</w:t>
            </w: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val="uk-UA" w:eastAsia="ru-RU"/>
              </w:rPr>
              <w:t>  </w:t>
            </w: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u w:val="single"/>
                <w:lang w:val="uk-UA" w:eastAsia="ru-RU"/>
              </w:rPr>
              <w:t>99 м2; 38 м2; 15560 м2;</w:t>
            </w:r>
          </w:p>
        </w:tc>
        <w:tc>
          <w:tcPr>
            <w:tcW w:w="13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1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23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9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94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2C73C7" w:rsidRPr="002C73C7" w:rsidTr="002C73C7">
        <w:trPr>
          <w:trHeight w:val="135"/>
        </w:trPr>
        <w:tc>
          <w:tcPr>
            <w:tcW w:w="32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1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23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9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94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2C73C7" w:rsidRPr="002C73C7" w:rsidTr="002C73C7">
        <w:trPr>
          <w:trHeight w:val="255"/>
        </w:trPr>
        <w:tc>
          <w:tcPr>
            <w:tcW w:w="32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За межами  </w:t>
            </w: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u w:val="single"/>
                <w:lang w:val="uk-UA" w:eastAsia="ru-RU"/>
              </w:rPr>
              <w:t>     ----    </w:t>
            </w:r>
          </w:p>
        </w:tc>
        <w:tc>
          <w:tcPr>
            <w:tcW w:w="13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1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23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9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94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2C73C7" w:rsidRPr="002C73C7" w:rsidTr="002C73C7">
        <w:trPr>
          <w:trHeight w:val="195"/>
        </w:trPr>
        <w:tc>
          <w:tcPr>
            <w:tcW w:w="4647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9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                          (Назва населеного пункту)</w:t>
            </w:r>
          </w:p>
        </w:tc>
        <w:tc>
          <w:tcPr>
            <w:tcW w:w="16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9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1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9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23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9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9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9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9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94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9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9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9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2C73C7" w:rsidRPr="002C73C7" w:rsidTr="002C73C7">
        <w:trPr>
          <w:trHeight w:val="300"/>
        </w:trPr>
        <w:tc>
          <w:tcPr>
            <w:tcW w:w="32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Разом        ---       </w:t>
            </w:r>
          </w:p>
        </w:tc>
        <w:tc>
          <w:tcPr>
            <w:tcW w:w="13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1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23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9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94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2C73C7" w:rsidRPr="002C73C7" w:rsidTr="002C73C7">
        <w:trPr>
          <w:trHeight w:val="135"/>
        </w:trPr>
        <w:tc>
          <w:tcPr>
            <w:tcW w:w="32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1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23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9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94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35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2C73C7" w:rsidRPr="002C73C7" w:rsidTr="002C73C7">
        <w:trPr>
          <w:trHeight w:val="255"/>
        </w:trPr>
        <w:tc>
          <w:tcPr>
            <w:tcW w:w="4647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Усього   </w:t>
            </w:r>
            <w:r w:rsidRPr="002C73C7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u w:val="single"/>
                <w:lang w:val="uk-UA" w:eastAsia="ru-RU"/>
              </w:rPr>
              <w:t>99 м2; 38 м2; 15560 м2;</w:t>
            </w:r>
          </w:p>
        </w:tc>
        <w:tc>
          <w:tcPr>
            <w:tcW w:w="16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1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23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9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94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2C73C7" w:rsidRPr="002C73C7" w:rsidTr="002C73C7">
        <w:trPr>
          <w:trHeight w:val="499"/>
        </w:trPr>
        <w:tc>
          <w:tcPr>
            <w:tcW w:w="16035" w:type="dxa"/>
            <w:gridSpan w:val="10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Орендодавець                                                                    МП ______________________                                      </w:t>
            </w: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u w:val="single"/>
                <w:lang w:val="uk-UA" w:eastAsia="ru-RU"/>
              </w:rPr>
              <w:t> В.В.Казаков                      </w:t>
            </w:r>
          </w:p>
        </w:tc>
      </w:tr>
      <w:tr w:rsidR="002C73C7" w:rsidRPr="002C73C7" w:rsidTr="002C73C7">
        <w:trPr>
          <w:trHeight w:val="180"/>
        </w:trPr>
        <w:tc>
          <w:tcPr>
            <w:tcW w:w="32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1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           (підпис)</w:t>
            </w:r>
          </w:p>
        </w:tc>
        <w:tc>
          <w:tcPr>
            <w:tcW w:w="8078" w:type="dxa"/>
            <w:gridSpan w:val="6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                                                                (ініціали та прізвище)</w:t>
            </w:r>
          </w:p>
        </w:tc>
      </w:tr>
      <w:tr w:rsidR="002C73C7" w:rsidRPr="002C73C7" w:rsidTr="002C73C7">
        <w:trPr>
          <w:trHeight w:val="143"/>
        </w:trPr>
        <w:tc>
          <w:tcPr>
            <w:tcW w:w="32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43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43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43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1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43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23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43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49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43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43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94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43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43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43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  <w:tr w:rsidR="002C73C7" w:rsidRPr="002C73C7" w:rsidTr="002C73C7">
        <w:trPr>
          <w:trHeight w:val="433"/>
        </w:trPr>
        <w:tc>
          <w:tcPr>
            <w:tcW w:w="16035" w:type="dxa"/>
            <w:gridSpan w:val="10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Орендар                                                                              МП ______________________                                       </w:t>
            </w: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u w:val="single"/>
                <w:lang w:val="uk-UA" w:eastAsia="ru-RU"/>
              </w:rPr>
              <w:t>Л.Д. Пінчук             </w:t>
            </w:r>
          </w:p>
        </w:tc>
      </w:tr>
      <w:tr w:rsidR="002C73C7" w:rsidRPr="002C73C7" w:rsidTr="002C73C7">
        <w:trPr>
          <w:trHeight w:val="189"/>
        </w:trPr>
        <w:tc>
          <w:tcPr>
            <w:tcW w:w="32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3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9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61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             (підпис)</w:t>
            </w:r>
          </w:p>
        </w:tc>
        <w:tc>
          <w:tcPr>
            <w:tcW w:w="8078" w:type="dxa"/>
            <w:gridSpan w:val="6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189" w:lineRule="atLeast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                                                                 (іціали та прізвище)</w:t>
            </w:r>
          </w:p>
        </w:tc>
      </w:tr>
      <w:tr w:rsidR="002C73C7" w:rsidRPr="002C73C7" w:rsidTr="002C73C7">
        <w:trPr>
          <w:trHeight w:val="1020"/>
        </w:trPr>
        <w:tc>
          <w:tcPr>
            <w:tcW w:w="16035" w:type="dxa"/>
            <w:gridSpan w:val="10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3C7" w:rsidRPr="002C73C7" w:rsidRDefault="002C73C7" w:rsidP="002C73C7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2C73C7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Секретар ради                                                                          А.А.Гавриленко</w:t>
            </w:r>
          </w:p>
        </w:tc>
      </w:tr>
    </w:tbl>
    <w:p w:rsidR="00C62C0A" w:rsidRPr="002C73C7" w:rsidRDefault="00C62C0A">
      <w:pPr>
        <w:rPr>
          <w:rFonts w:ascii="Arial" w:hAnsi="Arial" w:cs="Arial"/>
          <w:sz w:val="16"/>
          <w:szCs w:val="16"/>
        </w:rPr>
      </w:pPr>
    </w:p>
    <w:sectPr w:rsidR="00C62C0A" w:rsidRPr="002C73C7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2C73C7"/>
    <w:rsid w:val="002C73C7"/>
    <w:rsid w:val="0077396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C73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7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C73C7"/>
  </w:style>
  <w:style w:type="paragraph" w:styleId="a3">
    <w:name w:val="Normal (Web)"/>
    <w:basedOn w:val="a"/>
    <w:uiPriority w:val="99"/>
    <w:semiHidden/>
    <w:unhideWhenUsed/>
    <w:rsid w:val="002C73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text"/>
    <w:basedOn w:val="a0"/>
    <w:rsid w:val="002C7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4836</Characters>
  <Application>Microsoft Office Word</Application>
  <DocSecurity>0</DocSecurity>
  <Lines>40</Lines>
  <Paragraphs>11</Paragraphs>
  <ScaleCrop>false</ScaleCrop>
  <Company>Северодонецкие вести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Яровой</dc:creator>
  <cp:lastModifiedBy>Эдуард Яровой</cp:lastModifiedBy>
  <cp:revision>1</cp:revision>
  <dcterms:created xsi:type="dcterms:W3CDTF">2016-05-13T10:17:00Z</dcterms:created>
  <dcterms:modified xsi:type="dcterms:W3CDTF">2016-05-13T10:17:00Z</dcterms:modified>
</cp:coreProperties>
</file>