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right="-57" w:hanging="0"/>
        <w:jc w:val="both"/>
        <w:rPr/>
      </w:pPr>
      <w:bookmarkStart w:id="0" w:name="n13"/>
      <w:bookmarkEnd w:id="0"/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ЗАТВЕРДЖЕНО</w:t>
      </w:r>
    </w:p>
    <w:p>
      <w:pPr>
        <w:pStyle w:val="Normal"/>
        <w:snapToGrid w:val="false"/>
        <w:ind w:left="10915" w:right="-31" w:hanging="0"/>
        <w:rPr/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  <w:t xml:space="preserve">Розпорядження керівника </w:t>
        <w:tab/>
      </w:r>
      <w:r>
        <w:rPr>
          <w:rFonts w:ascii="Times New Roman" w:hAnsi="Times New Roman"/>
          <w:sz w:val="28"/>
          <w:szCs w:val="28"/>
        </w:rPr>
        <w:t>Сєвєродонецької міської</w:t>
      </w:r>
    </w:p>
    <w:p>
      <w:pPr>
        <w:pStyle w:val="Normal"/>
        <w:snapToGrid w:val="false"/>
        <w:ind w:left="10915" w:right="-28" w:hanging="0"/>
        <w:rPr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військово-цивільної адміністрації </w:t>
        <w:tab/>
        <w:t xml:space="preserve">Сєвєродонецького району </w:t>
        <w:tab/>
        <w:t>Луганської області</w:t>
      </w:r>
    </w:p>
    <w:p>
      <w:pPr>
        <w:pStyle w:val="Normal"/>
        <w:ind w:left="10915" w:right="-31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від 13.10.2021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2052</w:t>
      </w:r>
    </w:p>
    <w:p>
      <w:pPr>
        <w:pStyle w:val="Normal"/>
        <w:ind w:left="10915" w:right="-31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права осіб з інвалідністю</w:t>
      </w:r>
    </w:p>
    <w:p>
      <w:pPr>
        <w:pStyle w:val="Normal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на період до 2025 року</w:t>
      </w:r>
      <w:r>
        <w:rPr>
          <w:rFonts w:ascii="Times New Roman" w:hAnsi="Times New Roman"/>
          <w:b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19"/>
        <w:spacing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Style w:val="af3"/>
        <w:tblW w:w="1598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6"/>
        <w:gridCol w:w="2295"/>
        <w:gridCol w:w="5970"/>
        <w:gridCol w:w="2500"/>
        <w:gridCol w:w="1629"/>
        <w:gridCol w:w="2963"/>
      </w:tblGrid>
      <w:tr>
        <w:trPr>
          <w:trHeight w:val="630" w:hRule="atLeast"/>
        </w:trPr>
        <w:tc>
          <w:tcPr>
            <w:tcW w:w="62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№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з/п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Найменування завдання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Найменування заходу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Індикатор досягнення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Строк виконання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Відповідальні виконавці</w:t>
            </w:r>
          </w:p>
        </w:tc>
      </w:tr>
      <w:tr>
        <w:trPr/>
        <w:tc>
          <w:tcPr>
            <w:tcW w:w="626" w:type="dxa"/>
            <w:tcBorders/>
            <w:shd w:color="auto" w:fill="auto" w:val="clear"/>
          </w:tcPr>
          <w:p>
            <w:pPr>
              <w:pStyle w:val="Style19"/>
              <w:spacing w:before="0" w:after="0"/>
              <w:ind w:hanging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Style19"/>
              <w:spacing w:before="0" w:after="0"/>
              <w:ind w:hanging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Style19"/>
              <w:spacing w:before="0" w:after="0"/>
              <w:ind w:hanging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Style19"/>
              <w:spacing w:before="0" w:after="0"/>
              <w:ind w:hanging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4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Style19"/>
              <w:spacing w:before="0" w:after="0"/>
              <w:ind w:hanging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5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Style19"/>
              <w:spacing w:before="0" w:after="0"/>
              <w:ind w:hanging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6</w:t>
            </w:r>
          </w:p>
        </w:tc>
      </w:tr>
      <w:tr>
        <w:trPr/>
        <w:tc>
          <w:tcPr>
            <w:tcW w:w="15983" w:type="dxa"/>
            <w:gridSpan w:val="6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І. Рівність і недискримінація. Жінки з інвалідністю. Діти з інвалідністю (статті 5-7 Конвенції про права осіб з інвалідністю (далі – Конвенція)</w:t>
            </w:r>
            <w:bookmarkStart w:id="1" w:name="_1xfkl1rwzt7u"/>
            <w:bookmarkEnd w:id="1"/>
          </w:p>
        </w:tc>
      </w:tr>
      <w:tr>
        <w:trPr/>
        <w:tc>
          <w:tcPr>
            <w:tcW w:w="626" w:type="dxa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2295" w:type="dxa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Створення умов для забезпечення рівних прав та можливостей осіб з інвалідністю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 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узгодження нормативно-правових актів місцевих органів виконавчої влади, органів місцевого самоврядування з положеннями Конвенції, зокрема термінів «інвалід», «дитина-інвалід» термінами «особа з інвалідністю», «дитина з інвалідністю», а також уніфікація термінів та визначень 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внесено відповідні зміни до нормативно-правових актів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протягом 2021 року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bookmarkStart w:id="2" w:name="__DdeLink__1164_2492416503"/>
            <w:r>
              <w:rPr>
                <w:rFonts w:ascii="Times New Roman" w:hAnsi="Times New Roman"/>
                <w:sz w:val="27"/>
                <w:szCs w:val="27"/>
              </w:rPr>
              <w:t xml:space="preserve">Сєвєродонецька міська </w:t>
            </w:r>
            <w:bookmarkEnd w:id="2"/>
            <w:r>
              <w:rPr>
                <w:rFonts w:ascii="Times New Roman" w:hAnsi="Times New Roman"/>
                <w:sz w:val="27"/>
                <w:szCs w:val="27"/>
              </w:rPr>
              <w:t>військово-цивільна адміністрація</w:t>
            </w:r>
          </w:p>
        </w:tc>
      </w:tr>
      <w:tr>
        <w:trPr/>
        <w:tc>
          <w:tcPr>
            <w:tcW w:w="62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</w:r>
          </w:p>
        </w:tc>
        <w:tc>
          <w:tcPr>
            <w:tcW w:w="229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2) забезпечення врахування потреб жінок з інвалідністю під час оснащення лікарень, зокрема, гінекологічними кріслами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кількість гінекологічних крісел для жінок з інвалідністю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постійно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Управління охорони здоров’я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(далі - УОЗ)</w:t>
            </w:r>
          </w:p>
        </w:tc>
      </w:tr>
      <w:tr>
        <w:trPr/>
        <w:tc>
          <w:tcPr>
            <w:tcW w:w="15983" w:type="dxa"/>
            <w:gridSpan w:val="6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II. Просвітницько-виховна робота (стаття 8 Конвенції)</w:t>
            </w:r>
          </w:p>
        </w:tc>
      </w:tr>
      <w:tr>
        <w:trPr/>
        <w:tc>
          <w:tcPr>
            <w:tcW w:w="626" w:type="dxa"/>
            <w:vMerge w:val="restart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2295" w:type="dxa"/>
            <w:vMerge w:val="restart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Зміцнення потенціалу осіб, відповідальних за формування політики, фахівців і спеціалістів 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 всіх сферах життя у співпраці з ГО</w:t>
            </w:r>
          </w:p>
        </w:tc>
        <w:tc>
          <w:tcPr>
            <w:tcW w:w="5970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 проведення навчальних семінарів щодо важливості включення та допомоги у задоволенні потреб осіб з інвалідністю за участю ГО для:</w:t>
            </w:r>
          </w:p>
        </w:tc>
        <w:tc>
          <w:tcPr>
            <w:tcW w:w="2500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1629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963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</w:r>
          </w:p>
        </w:tc>
      </w:tr>
      <w:tr>
        <w:trPr>
          <w:trHeight w:val="600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</w:r>
          </w:p>
        </w:tc>
        <w:tc>
          <w:tcPr>
            <w:tcW w:w="2295" w:type="dxa"/>
            <w:vMerge w:val="continue"/>
            <w:tcBorders>
              <w:top w:val="nil"/>
              <w:bottom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фахівців сфери охорони здоров’я</w:t>
            </w:r>
          </w:p>
        </w:tc>
        <w:tc>
          <w:tcPr>
            <w:tcW w:w="2500" w:type="dxa"/>
            <w:tcBorders>
              <w:bottom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кількість проведених навчальних семінарів</w:t>
            </w:r>
          </w:p>
        </w:tc>
        <w:tc>
          <w:tcPr>
            <w:tcW w:w="1629" w:type="dxa"/>
            <w:tcBorders>
              <w:bottom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постійно</w:t>
            </w:r>
          </w:p>
        </w:tc>
        <w:tc>
          <w:tcPr>
            <w:tcW w:w="2963" w:type="dxa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УОЗ</w:t>
            </w:r>
          </w:p>
        </w:tc>
      </w:tr>
      <w:tr>
        <w:trPr/>
        <w:tc>
          <w:tcPr>
            <w:tcW w:w="626" w:type="dxa"/>
            <w:vMerge w:val="continue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</w:r>
          </w:p>
        </w:tc>
        <w:tc>
          <w:tcPr>
            <w:tcW w:w="2295" w:type="dxa"/>
            <w:vMerge w:val="continue"/>
            <w:tcBorders>
              <w:top w:val="nil"/>
              <w:bottom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викладачів, фахівців освіти</w:t>
            </w:r>
          </w:p>
        </w:tc>
        <w:tc>
          <w:tcPr>
            <w:tcW w:w="2500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1629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963" w:type="dxa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Управління освіти</w:t>
            </w:r>
          </w:p>
        </w:tc>
      </w:tr>
      <w:tr>
        <w:trPr/>
        <w:tc>
          <w:tcPr>
            <w:tcW w:w="626" w:type="dxa"/>
            <w:vMerge w:val="continue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</w:r>
          </w:p>
        </w:tc>
        <w:tc>
          <w:tcPr>
            <w:tcW w:w="2295" w:type="dxa"/>
            <w:vMerge w:val="continue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</w:r>
          </w:p>
        </w:tc>
        <w:tc>
          <w:tcPr>
            <w:tcW w:w="5970" w:type="dxa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2) підвищення кваліфікації, участь у відповідних тренінгах (зокрема семінарах, засіданнях за «круглим столом») працівників органів місцевого самоврядування, спеціалістів (фахівців) органів, установ та закладів соціального захисту, освіти, охорони здоров’я Сєвєродонецької міської територіальної громади щодо положень Конвенції </w:t>
            </w:r>
          </w:p>
        </w:tc>
        <w:tc>
          <w:tcPr>
            <w:tcW w:w="2500" w:type="dxa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чисельність спеціалістів, які підвищили кваліфікацію</w:t>
            </w:r>
          </w:p>
        </w:tc>
        <w:tc>
          <w:tcPr>
            <w:tcW w:w="1629" w:type="dxa"/>
            <w:tcBorders>
              <w:bottom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постійно</w:t>
            </w:r>
          </w:p>
        </w:tc>
        <w:tc>
          <w:tcPr>
            <w:tcW w:w="2963" w:type="dxa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Управління соціального захисту населення (далі - УСЗН), Територіальний центр соціального обслуговування (надання соціальних послуг), Центр комплексної реабілітації для дітей та осіб з інвалідністю, УОЗ,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Управління освіти </w:t>
            </w:r>
          </w:p>
        </w:tc>
      </w:tr>
      <w:tr>
        <w:trPr/>
        <w:tc>
          <w:tcPr>
            <w:tcW w:w="15983" w:type="dxa"/>
            <w:gridSpan w:val="6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ІІІ. Доступність (стаття 9 Конвенції)</w:t>
            </w:r>
          </w:p>
        </w:tc>
      </w:tr>
      <w:tr>
        <w:trPr/>
        <w:tc>
          <w:tcPr>
            <w:tcW w:w="626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2295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Забезпечення доступності транспорту </w:t>
            </w:r>
          </w:p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 впровадження візуальних, звукових, тактильних систем інформування та орієнтування осіб з інвалідністю на транспорті загального користування та об’єктах транспортної інфраструктури</w:t>
            </w:r>
          </w:p>
        </w:tc>
        <w:tc>
          <w:tcPr>
            <w:tcW w:w="2500" w:type="dxa"/>
            <w:tcBorders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25 відсотків пристосованих  засобів та об’єктів </w:t>
            </w:r>
          </w:p>
        </w:tc>
        <w:tc>
          <w:tcPr>
            <w:tcW w:w="1629" w:type="dxa"/>
            <w:tcBorders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до </w:t>
              <w:br/>
              <w:t>2025 року</w:t>
            </w:r>
          </w:p>
        </w:tc>
        <w:tc>
          <w:tcPr>
            <w:tcW w:w="2963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bookmarkStart w:id="3" w:name="__DdeLink__6306_2204037196"/>
            <w:r>
              <w:rPr>
                <w:rFonts w:ascii="Times New Roman" w:hAnsi="Times New Roman"/>
                <w:sz w:val="27"/>
                <w:szCs w:val="27"/>
              </w:rPr>
              <w:t>Управління транспорту,</w:t>
            </w:r>
            <w:bookmarkEnd w:id="3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bookmarkStart w:id="4" w:name="__DdeLink__1190_2057044941"/>
            <w:r>
              <w:rPr>
                <w:rFonts w:ascii="Times New Roman" w:hAnsi="Times New Roman"/>
                <w:sz w:val="27"/>
                <w:szCs w:val="27"/>
              </w:rPr>
              <w:t>Управління житлово-комунального господарства</w:t>
            </w:r>
            <w:bookmarkEnd w:id="4"/>
            <w:r>
              <w:rPr>
                <w:rFonts w:ascii="Times New Roman" w:hAnsi="Times New Roman"/>
                <w:sz w:val="27"/>
                <w:szCs w:val="27"/>
              </w:rPr>
              <w:t xml:space="preserve"> (далі — УЖКГ)</w:t>
            </w:r>
          </w:p>
        </w:tc>
      </w:tr>
      <w:tr>
        <w:trPr/>
        <w:tc>
          <w:tcPr>
            <w:tcW w:w="626" w:type="dxa"/>
            <w:vMerge w:val="continue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vMerge w:val="continue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2) усунення перешкод для маломобільних груп населення, у тому числі для осіб з інвалідністю, із залученням представників ГО під час проведення благоустрою, капітального ремонту об’єктів громадського та цивільного призначення, транспортної інфраструктури, дорожнього сервісу, 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впровадження послуги з перевезення людей на візках (“соціальне таксі”)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70 відсотків пристосованих об’єктів </w:t>
            </w:r>
          </w:p>
        </w:tc>
        <w:tc>
          <w:tcPr>
            <w:tcW w:w="1629" w:type="dxa"/>
            <w:tcBorders>
              <w:top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Управління транспорту, УЖКГ, Відділ капітального будівництва</w:t>
            </w:r>
          </w:p>
        </w:tc>
      </w:tr>
      <w:tr>
        <w:trPr/>
        <w:tc>
          <w:tcPr>
            <w:tcW w:w="626" w:type="dxa"/>
            <w:tcBorders>
              <w:bottom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2.</w:t>
            </w:r>
          </w:p>
        </w:tc>
        <w:tc>
          <w:tcPr>
            <w:tcW w:w="2295" w:type="dxa"/>
            <w:tcBorders>
              <w:bottom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Забезпечення архітектурної доступності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 вжиття вичерпних заходів для організації безперешкодного доступу осіб з інвалідністю до будівель, приміщень, у тому числі санітарного призначення, закладів освіти, соціального захисту населення, охорони здоров’я, переобладнання санітарної кімнати для маломобільних груп населення у тому числі осіб з інвалідністю у приміщенні Центру надання адміністративних послуг у м.Сєвєродонецьку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70 відсотків облаштованих об’єктів </w:t>
            </w:r>
          </w:p>
        </w:tc>
        <w:tc>
          <w:tcPr>
            <w:tcW w:w="162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УСЗН, Управління землеустрою, містобудування та архітектури, Управління освіти, УОЗ, Управління адміністративних послуг</w:t>
            </w:r>
          </w:p>
        </w:tc>
      </w:tr>
      <w:tr>
        <w:trPr/>
        <w:tc>
          <w:tcPr>
            <w:tcW w:w="626" w:type="dxa"/>
            <w:vMerge w:val="restart"/>
            <w:tcBorders>
              <w:top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vMerge w:val="restart"/>
            <w:tcBorders>
              <w:top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2) здійснення за участю ГО системного моніторингу доступності для осіб з інвалідністю та інших маломобільних груп населення  будівель закладів охорони здоров’я, соціального захисту, освіти, культури, об’єктів житлового та громадського призначення, торгівлі, транспорту та зв’язку, органів прокуратури, поліції та судів </w:t>
            </w:r>
          </w:p>
        </w:tc>
        <w:tc>
          <w:tcPr>
            <w:tcW w:w="2500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результати моніторингу опубліковано на офіційному вебсайті </w:t>
            </w:r>
          </w:p>
        </w:tc>
        <w:tc>
          <w:tcPr>
            <w:tcW w:w="1629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щороку до 01 квітня</w:t>
            </w:r>
          </w:p>
        </w:tc>
        <w:tc>
          <w:tcPr>
            <w:tcW w:w="2963" w:type="dxa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numPr>
                <w:ilvl w:val="0"/>
                <w:numId w:val="2"/>
              </w:numPr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Управління землеустрою, містобудування та архітектури, УОЗ,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УЖКГ, Управління освіти, Відділ культури, Відділ державного архітектурно-будівельного контролю, УСЗН, Відділ торгівлі та з захисту прав споживачів</w:t>
            </w:r>
          </w:p>
        </w:tc>
      </w:tr>
      <w:tr>
        <w:trPr/>
        <w:tc>
          <w:tcPr>
            <w:tcW w:w="626" w:type="dxa"/>
            <w:vMerge w:val="continue"/>
            <w:tcBorders>
              <w:top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vMerge w:val="continue"/>
            <w:tcBorders>
              <w:top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3) забезпечення розумного пристосування, універсального дизайну приміщень закладів культури (обладнання пандусами, звуковою сигналізацією, інформаційними табличками), поповнення бібліотечних фондів відповідною літературою, надрукованою шрифтом Брайля,</w:t>
            </w:r>
          </w:p>
          <w:p>
            <w:pPr>
              <w:pStyle w:val="Normal"/>
              <w:widowControl w:val="false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збільшеним шрифтом, аудіокнигами, перекладеною жестовою мовою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кількість закладів культури, доступних для осіб з інвалідністю 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2021-</w:t>
              <w:br/>
              <w:t>2025 роки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Відділ культури</w:t>
            </w:r>
          </w:p>
        </w:tc>
      </w:tr>
      <w:tr>
        <w:trPr/>
        <w:tc>
          <w:tcPr>
            <w:tcW w:w="62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2295" w:type="dxa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Забезпечення доступності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>послуг що надаються чер</w:t>
            </w:r>
            <w:r>
              <w:rPr>
                <w:rFonts w:ascii="Times New Roman" w:hAnsi="Times New Roman"/>
                <w:sz w:val="27"/>
                <w:szCs w:val="27"/>
              </w:rPr>
              <w:t>ез е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>лек</w:t>
            </w:r>
            <w:r>
              <w:rPr>
                <w:rFonts w:ascii="Times New Roman" w:hAnsi="Times New Roman"/>
                <w:sz w:val="27"/>
                <w:szCs w:val="27"/>
              </w:rPr>
              <w:t>тронні серві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си для </w:t>
            </w:r>
            <w:r>
              <w:rPr>
                <w:rFonts w:ascii="Times New Roman" w:hAnsi="Times New Roman"/>
                <w:sz w:val="27"/>
                <w:szCs w:val="27"/>
              </w:rPr>
              <w:t>осіб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з </w:t>
            </w:r>
            <w:r>
              <w:rPr>
                <w:rFonts w:ascii="Times New Roman" w:hAnsi="Times New Roman"/>
                <w:sz w:val="27"/>
                <w:szCs w:val="27"/>
              </w:rPr>
              <w:t>інвалідністю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1) проведення моніторингу доступності адміністративних послуг для осіб з інвалідністю вебпорталу Центру надання адміністративних послуг у м.Сєвєродонецьку 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http</w:t>
            </w:r>
            <w:r>
              <w:rPr>
                <w:rFonts w:ascii="Times New Roman" w:hAnsi="Times New Roman"/>
                <w:sz w:val="27"/>
                <w:szCs w:val="27"/>
              </w:rPr>
              <w:t>://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cnap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sed</w:t>
            </w:r>
            <w:r>
              <w:rPr>
                <w:rFonts w:ascii="Times New Roman" w:hAnsi="Times New Roman"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rada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gov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ua</w:t>
            </w:r>
            <w:r>
              <w:rPr>
                <w:rFonts w:ascii="Times New Roman" w:hAnsi="Times New Roman"/>
                <w:sz w:val="27"/>
                <w:szCs w:val="27"/>
              </w:rPr>
              <w:t>/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результати моніторингу опубліковано на офіційному вебсайті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І квартал 2022 року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2"/>
              <w:shd w:val="clear" w:color="auto" w:fill="FFFFFF"/>
              <w:spacing w:before="0" w:after="0"/>
              <w:ind w:left="0" w:hanging="0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 w:val="false"/>
                <w:sz w:val="27"/>
                <w:szCs w:val="27"/>
              </w:rPr>
              <w:t>Управління адміністративних послуг</w:t>
            </w:r>
          </w:p>
        </w:tc>
      </w:tr>
      <w:tr>
        <w:trPr/>
        <w:tc>
          <w:tcPr>
            <w:tcW w:w="15983" w:type="dxa"/>
            <w:gridSpan w:val="6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V.</w:t>
            </w:r>
            <w:bookmarkStart w:id="5" w:name="_79ugdcxo7h8q"/>
            <w:bookmarkEnd w:id="5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Ситуація ризику та надзвичайні гуманітарні ситуації (стаття 11 Конвенції)</w:t>
            </w:r>
          </w:p>
        </w:tc>
      </w:tr>
      <w:tr>
        <w:trPr/>
        <w:tc>
          <w:tcPr>
            <w:tcW w:w="626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2295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Забезпечення захисту і безпеки осіб з інвалідністю у надзвичайних ситуаціях, у тому числі в разі виникнення загрози збройних конфліктів </w:t>
            </w:r>
          </w:p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1) розроблення нових та включення  питань до діючих програм цивільного захисту щодо забезпечення доступу маломобільних груп населення, у тому числі осіб з інвалідністю, до захисних споруд цивільного захисту, зокрема проведення оцінки потреб, планування фінансування для створення умов, визначення строків облаштування споруд цивільного захисту засобами, що забезпечують такий доступ </w:t>
            </w:r>
          </w:p>
        </w:tc>
        <w:tc>
          <w:tcPr>
            <w:tcW w:w="2500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враховано питання доступності осіб з інвалідністю в програмах цивільного захисту</w:t>
            </w:r>
          </w:p>
        </w:tc>
        <w:tc>
          <w:tcPr>
            <w:tcW w:w="1629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ІІ квартал 2021 року</w:t>
            </w:r>
          </w:p>
        </w:tc>
        <w:tc>
          <w:tcPr>
            <w:tcW w:w="2963" w:type="dxa"/>
            <w:vMerge w:val="restart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Відділ цивільного захисту, екологічної безпеки та охорони праці</w:t>
            </w:r>
          </w:p>
        </w:tc>
      </w:tr>
      <w:tr>
        <w:trPr/>
        <w:tc>
          <w:tcPr>
            <w:tcW w:w="626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2) проведення моніторингу дотримання прав людей з інвалідністю у разі виникнення надзвичайних ситуацій за участю ГО, зокрема щодо забезпечення доступності захисних споруд цивільного захисту, наявності достатньої кількості доступного транспорту для евакуації до найближчої споруди цивільного захисту, а також рівня підготовки персоналу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результати опубліковано на офіційному вебсайті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щороку до 30 червня та 31 грудня</w:t>
            </w:r>
          </w:p>
        </w:tc>
        <w:tc>
          <w:tcPr>
            <w:tcW w:w="2963" w:type="dxa"/>
            <w:vMerge w:val="continue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3) інформування населення про сховища у населених пунктах, обладнані для перебування в них осіб з інвалідністю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відомості розміщено на офіційному вебсайті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протягом 2021 року</w:t>
            </w:r>
          </w:p>
        </w:tc>
        <w:tc>
          <w:tcPr>
            <w:tcW w:w="2963" w:type="dxa"/>
            <w:vMerge w:val="continue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4) розроблення планів заходів з питань цивільного захисту з урахуванням інтересів осіб з інвалідністю, які перебувають у закладах охорони здоров’я, освіти 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розроблено плани захисту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І квартал 2022 року</w:t>
            </w:r>
          </w:p>
        </w:tc>
        <w:tc>
          <w:tcPr>
            <w:tcW w:w="2963" w:type="dxa"/>
            <w:vMerge w:val="continue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>
          <w:trHeight w:val="2558" w:hRule="atLeast"/>
        </w:trPr>
        <w:tc>
          <w:tcPr>
            <w:tcW w:w="626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Визначення пріоритетів під час розподілу гуманітарної допомоги з урахуванням потреб осіб з інвалідністю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 залучення на постійній основі ГО до визначення пріоритетів у розподілі гуманітарної допомоги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прийнято рішень із залученням ГО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постійно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Територіальний центр соціального обслуговування (надання соціальних послуг)</w:t>
            </w:r>
          </w:p>
        </w:tc>
      </w:tr>
      <w:tr>
        <w:trPr/>
        <w:tc>
          <w:tcPr>
            <w:tcW w:w="15983" w:type="dxa"/>
            <w:gridSpan w:val="6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VI. Свобода та особиста недоторканність. Свобода від катувань і жорстоких, нелюдських або таких, що принижують гідність, видів поводження та покарання. Свобода від експлуатації, насилля та наруги. Захист особистої цілісності (статті 14-17 Конвенції)</w:t>
            </w:r>
          </w:p>
        </w:tc>
      </w:tr>
      <w:tr>
        <w:trPr/>
        <w:tc>
          <w:tcPr>
            <w:tcW w:w="626" w:type="dxa"/>
            <w:tcBorders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2295" w:type="dxa"/>
            <w:tcBorders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Забезпечення дотримання прав осіб з інвалідністю в установах та закладах, які здійснюють інституційний догляд, охорони здоров’я, виконання покарань, попереднього ув’язнення</w:t>
            </w:r>
          </w:p>
        </w:tc>
        <w:tc>
          <w:tcPr>
            <w:tcW w:w="5970" w:type="dxa"/>
            <w:tcBorders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2) вивчення питання щодо стану надання соціальних послуг особам, віднесеним до IV-V групи рухової активності відповідно до Державного стандарту догляду вдома, затвердженого наказом Мінсоцполітики від 13.11.2013 № 760</w:t>
            </w:r>
          </w:p>
        </w:tc>
        <w:tc>
          <w:tcPr>
            <w:tcW w:w="2500" w:type="dxa"/>
            <w:tcBorders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подано аналітичну записку ДСЗН</w:t>
            </w:r>
          </w:p>
        </w:tc>
        <w:tc>
          <w:tcPr>
            <w:tcW w:w="1629" w:type="dxa"/>
            <w:tcBorders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2022 рік</w:t>
            </w:r>
          </w:p>
        </w:tc>
        <w:tc>
          <w:tcPr>
            <w:tcW w:w="2963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Територіальний центр соціального обслуговування (надання соціальних послуг)</w:t>
            </w:r>
          </w:p>
        </w:tc>
      </w:tr>
      <w:tr>
        <w:trPr/>
        <w:tc>
          <w:tcPr>
            <w:tcW w:w="626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2295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Захист осіб з інвалідністю від домашнього насильства</w:t>
            </w:r>
          </w:p>
        </w:tc>
        <w:tc>
          <w:tcPr>
            <w:tcW w:w="5970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 проведення навчання фахівців із соціальної роботи щодо виявлення та надання допомоги особам з інвалідністю, зокрема визнаним у судовому порядку недієздатними, які зазнають домашнього насильства, у тому числі від осіб, що здійснюють догляд за ними</w:t>
            </w:r>
          </w:p>
        </w:tc>
        <w:tc>
          <w:tcPr>
            <w:tcW w:w="2500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кількість фахівців, які пройшли навчання</w:t>
            </w:r>
          </w:p>
        </w:tc>
        <w:tc>
          <w:tcPr>
            <w:tcW w:w="1629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постійно</w:t>
            </w:r>
          </w:p>
        </w:tc>
        <w:tc>
          <w:tcPr>
            <w:tcW w:w="2963" w:type="dxa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Координаційна рада з питань сім’ї, гендерної рівності, демографічного розвитку, запобігання та протидії домашньому насильству, насильству за ознакою статі, торгівлі людьми та провадженню Порядку денного 1325 “Жінки.Мир.Безпека” (далі - КР)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2A6099"/>
              <w:left w:val="single" w:sz="4" w:space="0" w:color="2A6099"/>
              <w:bottom w:val="nil"/>
              <w:right w:val="single" w:sz="4" w:space="0" w:color="2A6099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2) проведення оцінки доступності для осіб з інвалідністю та інших маломобільних груп населення існуючих загальних та спеціалізованих служб підтримки постраждалих осіб, у разі необхідності забезпечення створення таких умов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інформацію  розміщено на офіційному вебсайті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2021 рік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КР</w:t>
            </w:r>
          </w:p>
        </w:tc>
      </w:tr>
      <w:tr>
        <w:trPr/>
        <w:tc>
          <w:tcPr>
            <w:tcW w:w="626" w:type="dxa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3. </w:t>
            </w:r>
          </w:p>
        </w:tc>
        <w:tc>
          <w:tcPr>
            <w:tcW w:w="2295" w:type="dxa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Забезпечення належних умов для відновлення та реабілітації жінок і дівчат з інвалідністю, які постраждали від насильства за ознакою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 визначення доступності діючих притулків для жінок та дівчат з інвалідністю, які постраждали від домашнього насильства та насильства за ознакою статі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кількість діючих притулків, у тому числі у сільській місцевості, доступних для жінок і дівчат з інвалідністю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щороку до 01 квітня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КР</w:t>
            </w:r>
          </w:p>
        </w:tc>
      </w:tr>
      <w:tr>
        <w:trPr/>
        <w:tc>
          <w:tcPr>
            <w:tcW w:w="62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статі та сексуального насильства, пов’язаного з конфліктом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2) забезпечення надання жінкам та дівчатам з інвалідністю, які постраждали від насильства за ознакою статі та сексуального насильства, пов’язаного з конфліктом, інформації в доступному форматі про послуги та доступ до установ, на які покладаються функції із здійснення заходів у сфері запобігання та протидії насильству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кількість місць розміщення, чисельність поінформованих жінок та дівчат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постійно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КР</w:t>
            </w:r>
          </w:p>
        </w:tc>
      </w:tr>
      <w:tr>
        <w:trPr/>
        <w:tc>
          <w:tcPr>
            <w:tcW w:w="15983" w:type="dxa"/>
            <w:gridSpan w:val="6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VII. Самостійний спосіб життя й залучення до місцевої спільноти (стаття 19 Конвенції)</w:t>
            </w:r>
          </w:p>
        </w:tc>
      </w:tr>
      <w:tr>
        <w:trPr/>
        <w:tc>
          <w:tcPr>
            <w:tcW w:w="626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1. 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Підвищення рівня охоплення якісними соціальними 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послугами осіб з інвалідністю на рівні територіальних громад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 забезпечення розвитку соціальних послуг, що надаються у Сєвєродонецькій міській територіальній громаді з  урахуванням потреб осіб з інвалідністю, у тому числі із залученням громадських об’єднань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збільшено кількість послуг, у тому числі шляхом соціального замовлення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серпень 2022 року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Територіальний центр соціального обслуговування (надання соціальних послуг), УСЗН,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Центр комплексної реабілітації для дітей та осіб з інвалідністю, Сєвєродонецький міський центр соціальних служб</w:t>
            </w:r>
          </w:p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626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2. 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Забезпечення соціальною послугою догляду вдома осіб із психічними та інтелектуальними порушеннями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 вжиття заходів щодо надання соціальних послуг особам із психічними та інтелектуальними порушеннями, зокрема недієздатним особам за місцем їх проживання, шляхом створення мережі надавачів таких послуг, у тому числі із залученням недержавного сектора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чисельність осіб, яким надається послуга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ІV квартал 2022 року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Територіальний центр соціального обслуговування (надання соціальних послуг), УСЗН</w:t>
            </w:r>
          </w:p>
        </w:tc>
      </w:tr>
      <w:tr>
        <w:trPr/>
        <w:tc>
          <w:tcPr>
            <w:tcW w:w="62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229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Забезпечення надання медичних послуг особам з інвалідністю</w:t>
            </w:r>
          </w:p>
        </w:tc>
        <w:tc>
          <w:tcPr>
            <w:tcW w:w="597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hd w:val="clear" w:color="auto" w:fill="FFFFFF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1) забезпечення супроводу осіб з інвалідністю </w:t>
            </w:r>
          </w:p>
        </w:tc>
        <w:tc>
          <w:tcPr>
            <w:tcW w:w="25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чисельність осіб, яким забезпечено супровід</w:t>
            </w:r>
          </w:p>
        </w:tc>
        <w:tc>
          <w:tcPr>
            <w:tcW w:w="162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постійно</w:t>
            </w:r>
          </w:p>
        </w:tc>
        <w:tc>
          <w:tcPr>
            <w:tcW w:w="296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УОЗ</w:t>
            </w:r>
          </w:p>
        </w:tc>
      </w:tr>
      <w:tr>
        <w:trPr/>
        <w:tc>
          <w:tcPr>
            <w:tcW w:w="15983" w:type="dxa"/>
            <w:gridSpan w:val="6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I</w:t>
            </w: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. Свобода висловлення думки та переконань і доступ до інформації (стаття 21 Конвенції</w:t>
            </w:r>
            <w:bookmarkStart w:id="6" w:name="_hi142fl2sx5e"/>
            <w:bookmarkEnd w:id="6"/>
            <w:r>
              <w:rPr>
                <w:rFonts w:ascii="Times New Roman" w:hAnsi="Times New Roman"/>
                <w:b/>
                <w:sz w:val="27"/>
                <w:szCs w:val="27"/>
              </w:rPr>
              <w:t>)</w:t>
            </w:r>
          </w:p>
        </w:tc>
      </w:tr>
      <w:tr>
        <w:trPr/>
        <w:tc>
          <w:tcPr>
            <w:tcW w:w="626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pacing w:val="-6"/>
                <w:sz w:val="27"/>
                <w:szCs w:val="27"/>
              </w:rPr>
              <w:t>1.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pacing w:val="-6"/>
                <w:sz w:val="27"/>
                <w:szCs w:val="27"/>
              </w:rPr>
              <w:t>Розширення можливостей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щодо захисту прав осіб з інвалідністю доступними засобами, 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способами і форматами спілкування з використанням інформаційних та комунікаційних технологій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1)вивчення питання щодо можливості оформлення  офіційних вебсайтів відповідно до вимог ДСТУ ISO/IEC 40500:2015 «Інформаційні технології. Настанова з доступності веб-контенту W3C (WCAG) 2.0» не нижче рівня АА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Кількість вебсайтів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 2022 року</w:t>
            </w:r>
          </w:p>
        </w:tc>
        <w:tc>
          <w:tcPr>
            <w:tcW w:w="2963" w:type="dxa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2"/>
              <w:shd w:val="clear" w:color="auto" w:fill="FFFFFF"/>
              <w:spacing w:before="0" w:after="0"/>
              <w:ind w:left="0" w:hanging="0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 w:val="false"/>
                <w:bCs/>
                <w:color w:val="000000"/>
                <w:sz w:val="27"/>
                <w:szCs w:val="27"/>
              </w:rPr>
              <w:t>Відділ автоматизованих систем управління та технічного обладнання</w:t>
            </w:r>
          </w:p>
        </w:tc>
      </w:tr>
      <w:tr>
        <w:trPr/>
        <w:tc>
          <w:tcPr>
            <w:tcW w:w="15983" w:type="dxa"/>
            <w:gridSpan w:val="6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I</w:t>
            </w: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X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. Повага до дому та сім’ї (стаття 23 Конвенції</w:t>
            </w:r>
            <w:bookmarkStart w:id="7" w:name="_myv4jqf77ht8"/>
            <w:bookmarkEnd w:id="7"/>
            <w:r>
              <w:rPr>
                <w:rFonts w:ascii="Times New Roman" w:hAnsi="Times New Roman"/>
                <w:b/>
                <w:sz w:val="27"/>
                <w:szCs w:val="27"/>
              </w:rPr>
              <w:t>)</w:t>
            </w:r>
          </w:p>
        </w:tc>
      </w:tr>
      <w:tr>
        <w:trPr/>
        <w:tc>
          <w:tcPr>
            <w:tcW w:w="62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2295" w:type="dxa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Створення умов для розвитку і виховання дітей у сім’ях або в умовах, максимально наближених до сімейних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 вжиття заходів щодо посилення контролю за умовами утримання та виховання дітей з інвалідністю, які виховуються в умовах, наближених до сімейних (малих групових будинках), або у закладах інституційного догляду та виховання дітей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забезпечено належні умови утримання та виховання дітей з інвалідністю</w:t>
            </w:r>
          </w:p>
        </w:tc>
        <w:tc>
          <w:tcPr>
            <w:tcW w:w="162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Служба у справах дітей,</w:t>
            </w:r>
          </w:p>
          <w:p>
            <w:pPr>
              <w:pStyle w:val="Normal"/>
              <w:ind w:right="-104" w:hanging="0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Сєвєродонецький міський центр соціальних служб</w:t>
            </w:r>
          </w:p>
        </w:tc>
      </w:tr>
      <w:tr>
        <w:trPr>
          <w:trHeight w:val="1596" w:hRule="atLeast"/>
        </w:trPr>
        <w:tc>
          <w:tcPr>
            <w:tcW w:w="626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2295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Навчання та підвищення кваліфікації надавачів послуг дітям з інвалідністю та сім’ям (сімейним формам виховання), в яких вони виховуються</w:t>
            </w:r>
          </w:p>
        </w:tc>
        <w:tc>
          <w:tcPr>
            <w:tcW w:w="5970" w:type="dxa"/>
            <w:tcBorders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 вжиття заходів щодо неухильного дотримання вимог законодавства у частині своєчасного проходження підвищення кваліфікації батьків-вихователів та прийомних батьків (один раз на два роки) з урахуванням індивідуальних особливостей вихованців та прийомних дітей</w:t>
            </w:r>
          </w:p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500" w:type="dxa"/>
            <w:tcBorders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підвищено виховний потенціал батьків-вихователів та прийомних батьків</w:t>
            </w:r>
          </w:p>
        </w:tc>
        <w:tc>
          <w:tcPr>
            <w:tcW w:w="1629" w:type="dxa"/>
            <w:tcBorders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один раз на два роки</w:t>
            </w:r>
          </w:p>
        </w:tc>
        <w:tc>
          <w:tcPr>
            <w:tcW w:w="2963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Служба у справах дітей,</w:t>
            </w:r>
          </w:p>
          <w:p>
            <w:pPr>
              <w:pStyle w:val="Normal"/>
              <w:ind w:right="-104" w:hanging="0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Сєвєродонецький міський центр соціальних служб</w:t>
            </w:r>
          </w:p>
        </w:tc>
      </w:tr>
      <w:tr>
        <w:trPr/>
        <w:tc>
          <w:tcPr>
            <w:tcW w:w="626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>
              <w:top w:val="nil"/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2) вжиття заходів щодо систематичного підвищення кваліфікації працівників, які здійснюють соціальний і психологічний супровід дітей, у тому числі з інвалідністю</w:t>
            </w:r>
          </w:p>
        </w:tc>
        <w:tc>
          <w:tcPr>
            <w:tcW w:w="2500" w:type="dxa"/>
            <w:tcBorders>
              <w:top w:val="nil"/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підвищено кваліфікацію працівників</w:t>
            </w:r>
          </w:p>
        </w:tc>
        <w:tc>
          <w:tcPr>
            <w:tcW w:w="1629" w:type="dxa"/>
            <w:tcBorders>
              <w:top w:val="nil"/>
              <w:right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постійно</w:t>
            </w:r>
          </w:p>
        </w:tc>
        <w:tc>
          <w:tcPr>
            <w:tcW w:w="2963" w:type="dxa"/>
            <w:tcBorders>
              <w:top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Служба у справах дітей,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Сєвєродонецький міський центр соціальних служб, Центр комплексної реабілітації для дітей та осіб з інвалідністю</w:t>
            </w:r>
          </w:p>
        </w:tc>
      </w:tr>
      <w:tr>
        <w:trPr/>
        <w:tc>
          <w:tcPr>
            <w:tcW w:w="15983" w:type="dxa"/>
            <w:gridSpan w:val="6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X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. Освіта (стаття 24 Конвенції)</w:t>
            </w:r>
          </w:p>
        </w:tc>
      </w:tr>
      <w:tr>
        <w:trPr/>
        <w:tc>
          <w:tcPr>
            <w:tcW w:w="626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2295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Сприяння доступу осіб з інвалідністю до будівель, споруд та приміщень закладів освіти</w:t>
            </w:r>
          </w:p>
        </w:tc>
        <w:tc>
          <w:tcPr>
            <w:tcW w:w="5970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28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 забезпечення проведення оцінки реалізації права на освіту осіб з інвалідністю відповідно до зауважень загального порядку № 4 (2016 року) Комітету ООН з прав осіб з інвалідністю до статті 24 Конвенції та Резолюції 70/1, прийнятої Генеральною Асамблеєю ООН «Перетворення нашого світу: Порядок денний в галузі сталого розвитку на період до 2030 року»</w:t>
            </w:r>
          </w:p>
        </w:tc>
        <w:tc>
          <w:tcPr>
            <w:tcW w:w="2500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розроблено індикатори для проведення відповідної оцінки</w:t>
            </w:r>
          </w:p>
        </w:tc>
        <w:tc>
          <w:tcPr>
            <w:tcW w:w="1629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ІІІ квартал</w:t>
            </w:r>
          </w:p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2021 року</w:t>
            </w:r>
          </w:p>
        </w:tc>
        <w:tc>
          <w:tcPr>
            <w:tcW w:w="2963" w:type="dxa"/>
            <w:vMerge w:val="restart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Управління освіти</w:t>
            </w:r>
          </w:p>
        </w:tc>
      </w:tr>
      <w:tr>
        <w:trPr/>
        <w:tc>
          <w:tcPr>
            <w:tcW w:w="626" w:type="dxa"/>
            <w:vMerge w:val="continue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</w:r>
          </w:p>
        </w:tc>
        <w:tc>
          <w:tcPr>
            <w:tcW w:w="2295" w:type="dxa"/>
            <w:vMerge w:val="continue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spacing w:lineRule="auto" w:line="228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2) здійснення регулярного моніторингу та оцінки реалізації права на освіту осіб з інвалідністю з використанням індикаторів до статті 24 Конвенції із залученням ГО, батьків/осіб, які здійснюють догляд за дітьми з інвалідністю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опубліковано результати моніторингу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щороку до </w:t>
              <w:br/>
              <w:t>15 лютого</w:t>
            </w:r>
          </w:p>
        </w:tc>
        <w:tc>
          <w:tcPr>
            <w:tcW w:w="2963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2295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Розвиток інклюзивної освіти</w:t>
            </w:r>
          </w:p>
        </w:tc>
        <w:tc>
          <w:tcPr>
            <w:tcW w:w="5970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28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 сприяння розвитку інклюзивного освітнього середовища у закладах позашкільної освіти, найбільш доступних і наближених до місця проживання дітей, у тому числі з особливими освітніми потребами, відповідно до Закону України «Про позашкільну освіту»</w:t>
            </w:r>
          </w:p>
        </w:tc>
        <w:tc>
          <w:tcPr>
            <w:tcW w:w="2500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кількість закладів, забезпечених інклюзивним освітнім середовищем</w:t>
            </w:r>
          </w:p>
        </w:tc>
        <w:tc>
          <w:tcPr>
            <w:tcW w:w="1629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протягом</w:t>
            </w:r>
          </w:p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2022 року</w:t>
            </w:r>
          </w:p>
        </w:tc>
        <w:tc>
          <w:tcPr>
            <w:tcW w:w="2963" w:type="dxa"/>
            <w:vMerge w:val="restart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Управління освіти,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Комунальна установа “Інклюзивно - ресурсний центр” Сєвєродонецької міської ради</w:t>
            </w:r>
          </w:p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vMerge w:val="continue"/>
            <w:tcBorders>
              <w:top w:val="nil"/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>
              <w:top w:val="nil"/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spacing w:lineRule="auto" w:line="228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2) оснащення меблями, пристосованими для навчання дітей з порушеннями опорно-рухового апарату, закладів дошкільної, загальної середньої та позашкільної освіти</w:t>
            </w:r>
          </w:p>
        </w:tc>
        <w:tc>
          <w:tcPr>
            <w:tcW w:w="2500" w:type="dxa"/>
            <w:tcBorders>
              <w:top w:val="nil"/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100-відсоткове оснащення </w:t>
            </w:r>
          </w:p>
        </w:tc>
        <w:tc>
          <w:tcPr>
            <w:tcW w:w="1629" w:type="dxa"/>
            <w:tcBorders>
              <w:top w:val="nil"/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ІІІ квартал</w:t>
            </w:r>
          </w:p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2023 року</w:t>
            </w:r>
          </w:p>
        </w:tc>
        <w:tc>
          <w:tcPr>
            <w:tcW w:w="2963" w:type="dxa"/>
            <w:vMerge w:val="continue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pacing w:lineRule="auto" w:line="228"/>
              <w:ind w:right="-138" w:hanging="0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3) забезпечення надання послуг інклюзивно-ресурсними центрами у кожній тергромаді незалежно від чисельності осіб з особливими освітніми потребами, що в них проживають</w:t>
            </w:r>
          </w:p>
        </w:tc>
        <w:tc>
          <w:tcPr>
            <w:tcW w:w="2500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100-відсоткове надання послуг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ІІ квартал</w:t>
            </w:r>
          </w:p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2022 року</w:t>
            </w:r>
          </w:p>
        </w:tc>
        <w:tc>
          <w:tcPr>
            <w:tcW w:w="2963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>
              <w:top w:val="nil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pacing w:lineRule="auto" w:line="228"/>
              <w:ind w:right="-138" w:hanging="0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4)</w:t>
            </w:r>
            <w:r>
              <w:rPr>
                <w:rFonts w:ascii="Times New Roman" w:hAnsi="Times New Roman"/>
                <w:b/>
                <w:color w:val="7030A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забезпечення фінансування додаткових </w:t>
            </w:r>
            <w:r>
              <w:rPr>
                <w:rFonts w:ascii="Times New Roman" w:hAnsi="Times New Roman"/>
                <w:sz w:val="27"/>
                <w:szCs w:val="27"/>
                <w:shd w:fill="FFFFFF" w:val="clear"/>
              </w:rPr>
              <w:t>психолого-педагогічних і корекційно-розвиткових послуг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для дітей з особливими освітніми потребами, забезпечення соціальних та інших послуг у закладах освіти 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чисельність дітей з особливими  потребами, які отримують безоплатно додаткові послуги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до </w:t>
              <w:br/>
              <w:t>2023 року</w:t>
            </w:r>
          </w:p>
        </w:tc>
        <w:tc>
          <w:tcPr>
            <w:tcW w:w="2963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spacing w:lineRule="auto" w:line="228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5</w:t>
            </w:r>
            <w:r>
              <w:rPr>
                <w:rFonts w:ascii="Times New Roman" w:hAnsi="Times New Roman"/>
                <w:sz w:val="27"/>
                <w:szCs w:val="27"/>
              </w:rPr>
              <w:t>) реалізація проєкту «Мистецька освіта без обмежень»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чисельність осіб з особливими освітніми потребами, які здобувають мистецьку освіту 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2021-2023 роки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ind w:right="-104" w:hanging="0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Відділ культури </w:t>
            </w:r>
          </w:p>
        </w:tc>
      </w:tr>
      <w:tr>
        <w:trPr/>
        <w:tc>
          <w:tcPr>
            <w:tcW w:w="626" w:type="dxa"/>
            <w:vMerge w:val="restart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2295" w:type="dxa"/>
            <w:vMerge w:val="restart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Підготовка фахівців у сфері інклюзивної освіти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spacing w:lineRule="auto" w:line="228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 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впровадження освітніх програм підготовки</w:t>
            </w:r>
            <w:r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та підвищення кваліфікації педагогічних працівників, асистентів вчителя у сфері інклюзивного навчання, у тому числі на умовах дистанційного їх проходження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кількість програм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І квартал</w:t>
            </w:r>
          </w:p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2022 року</w:t>
            </w:r>
          </w:p>
        </w:tc>
        <w:tc>
          <w:tcPr>
            <w:tcW w:w="2963" w:type="dxa"/>
            <w:vMerge w:val="restart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Управління освіти</w:t>
            </w:r>
          </w:p>
        </w:tc>
      </w:tr>
      <w:tr>
        <w:trPr/>
        <w:tc>
          <w:tcPr>
            <w:tcW w:w="626" w:type="dxa"/>
            <w:vMerge w:val="continue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vMerge w:val="continue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2)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 </w:t>
            </w:r>
            <w:r>
              <w:rPr>
                <w:rFonts w:ascii="Times New Roman" w:hAnsi="Times New Roman"/>
                <w:sz w:val="27"/>
                <w:szCs w:val="27"/>
              </w:rPr>
              <w:t>забезпечення підготовки/підвищення кваліфікації педагогічних працівників, у тому числі асистентів вчителя, фахівців, що працюють у системі інклюзивної освіти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ind w:right="-133" w:hanging="0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чисельність педпрацівників, у т.ч. асистентів вчителя, які працюють у</w:t>
            </w:r>
            <w:r>
              <w:rPr>
                <w:rFonts w:ascii="Times New Roman" w:hAnsi="Times New Roman"/>
                <w:color w:val="00B05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системі інклюзивної освіти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постійно</w:t>
            </w:r>
          </w:p>
        </w:tc>
        <w:tc>
          <w:tcPr>
            <w:tcW w:w="2963" w:type="dxa"/>
            <w:vMerge w:val="continue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15983" w:type="dxa"/>
            <w:gridSpan w:val="6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X</w:t>
            </w: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. </w:t>
            </w:r>
            <w:bookmarkStart w:id="8" w:name="_lyrpz7bbltu6"/>
            <w:bookmarkEnd w:id="8"/>
            <w:r>
              <w:rPr>
                <w:rFonts w:ascii="Times New Roman" w:hAnsi="Times New Roman"/>
                <w:b/>
                <w:sz w:val="27"/>
                <w:szCs w:val="27"/>
              </w:rPr>
              <w:t>Абілітація та реабілітація (стаття 26 Конвенції)</w:t>
            </w:r>
          </w:p>
        </w:tc>
      </w:tr>
      <w:tr>
        <w:trPr/>
        <w:tc>
          <w:tcPr>
            <w:tcW w:w="626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1. 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Упровадження комплексних реабілітаційних та абілітаційних послуг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 забезпечення підвищення кваліфікації фахівців з реабілітації з метою надання (здійснення) якісних реабілітаційних послуг (заходів)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чисельність фахівців з реабілітації, якими підвищено кваліфікацію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постійно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Центр комплексної реабілітації для дітей та осіб з інвалідністю, УОЗ</w:t>
            </w:r>
          </w:p>
        </w:tc>
      </w:tr>
      <w:tr>
        <w:trPr/>
        <w:tc>
          <w:tcPr>
            <w:tcW w:w="15983" w:type="dxa"/>
            <w:gridSpan w:val="6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XI</w:t>
            </w: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. Праця та зайнятість (стаття 27 Конвенції</w:t>
            </w:r>
            <w:bookmarkStart w:id="9" w:name="_m2y6nxg94ecr"/>
            <w:bookmarkEnd w:id="9"/>
            <w:r>
              <w:rPr>
                <w:rFonts w:ascii="Times New Roman" w:hAnsi="Times New Roman"/>
                <w:b/>
                <w:sz w:val="27"/>
                <w:szCs w:val="27"/>
              </w:rPr>
              <w:t>)</w:t>
            </w:r>
          </w:p>
        </w:tc>
      </w:tr>
      <w:tr>
        <w:trPr/>
        <w:tc>
          <w:tcPr>
            <w:tcW w:w="626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1. </w:t>
            </w:r>
          </w:p>
        </w:tc>
        <w:tc>
          <w:tcPr>
            <w:tcW w:w="2295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Сприяння зайнятості, забезпечення розумного пристосування робочих місць для потреб осіб з 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інвалідністю, їх супроводу на робочому місці</w:t>
            </w:r>
          </w:p>
        </w:tc>
        <w:tc>
          <w:tcPr>
            <w:tcW w:w="5970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 забезпечення впровадження соціальної послуги супроводу під час працевлаштування та на робочому місці особи з інвалідністю</w:t>
            </w:r>
          </w:p>
        </w:tc>
        <w:tc>
          <w:tcPr>
            <w:tcW w:w="2500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збільшено чисельність працевлаштованих осіб з інвалідністю</w:t>
            </w:r>
          </w:p>
        </w:tc>
        <w:tc>
          <w:tcPr>
            <w:tcW w:w="1629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протягом 2021-2023 років</w:t>
            </w:r>
          </w:p>
        </w:tc>
        <w:tc>
          <w:tcPr>
            <w:tcW w:w="2963" w:type="dxa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Територіальний центр соціального обслуговування,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Сєвєродонецький міський центр соціальних служб, </w:t>
            </w:r>
            <w:r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Сєвєродонецький міський центр зайнятості, УСЗН</w:t>
            </w:r>
          </w:p>
        </w:tc>
      </w:tr>
      <w:tr>
        <w:trPr/>
        <w:tc>
          <w:tcPr>
            <w:tcW w:w="626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  <w:lang w:eastAsia="uk-UA"/>
              </w:rPr>
            </w:pPr>
            <w:r>
              <w:rPr>
                <w:rFonts w:ascii="Times New Roman" w:hAnsi="Times New Roman"/>
                <w:sz w:val="27"/>
                <w:szCs w:val="27"/>
                <w:lang w:eastAsia="uk-UA"/>
              </w:rPr>
            </w:r>
          </w:p>
        </w:tc>
        <w:tc>
          <w:tcPr>
            <w:tcW w:w="2295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2) проведення інформаційно-роз’яснювальних кампаній для популяризації працевлаштування осіб з інвалідністю, підвищення рівня поінформованості та боротьби із стигматизацією і стереотипами, з якими стикаються особи з інвалідністю, зокрема на робочому місці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проведено інформаційно-роз’яснювальних заходів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постійно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rPr>
                <w:sz w:val="27"/>
                <w:szCs w:val="27"/>
              </w:rPr>
            </w:pPr>
            <w:bookmarkStart w:id="10" w:name="__DdeLink__3285_1723563503"/>
            <w:r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Сєвєродонецький міський центр зайнятості</w:t>
            </w:r>
            <w:bookmarkEnd w:id="10"/>
            <w:r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, УСЗН</w:t>
            </w:r>
          </w:p>
        </w:tc>
      </w:tr>
      <w:tr>
        <w:trPr/>
        <w:tc>
          <w:tcPr>
            <w:tcW w:w="626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3) Проведення “ярмарок вакансій” для осіб з інвалідністю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збільшено чисельність працевлаштованих осіб з інвалідністю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протягом 2021-2023 років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Сєвєродонецький міський центр зайнятості</w:t>
            </w:r>
          </w:p>
        </w:tc>
      </w:tr>
      <w:tr>
        <w:trPr/>
        <w:tc>
          <w:tcPr>
            <w:tcW w:w="15983" w:type="dxa"/>
            <w:gridSpan w:val="6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XI</w:t>
            </w: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. Участь у політичному та суспільному житті (стаття 29 Конвенції)</w:t>
            </w:r>
          </w:p>
        </w:tc>
      </w:tr>
      <w:tr>
        <w:trPr/>
        <w:tc>
          <w:tcPr>
            <w:tcW w:w="626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1. 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Участь осіб з інвалідністю у виборчому процесі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 забезпечення реалізації виборчих прав осіб з інвалідністю, зокрема шляхом створення умов для безперешкодного доступу до приміщень виборчих комісій та для голосування, застосування засобів розумного пристосування для голосування, доступних форматів інформації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кількість приміщень виборчих комісій, що відповідають ДБН з доступності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ІІ квартал 2023 року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bookmarkStart w:id="11" w:name="__DdeLink__1716_1178980553"/>
            <w:bookmarkEnd w:id="11"/>
            <w:r>
              <w:rPr>
                <w:rFonts w:ascii="Times New Roman" w:hAnsi="Times New Roman"/>
                <w:sz w:val="27"/>
                <w:szCs w:val="27"/>
              </w:rPr>
              <w:t>УЖКГ, Відділ капітального будівництва</w:t>
            </w:r>
          </w:p>
        </w:tc>
      </w:tr>
      <w:tr>
        <w:trPr/>
        <w:tc>
          <w:tcPr>
            <w:tcW w:w="15983" w:type="dxa"/>
            <w:gridSpan w:val="6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eastAsia="Arial" w:ascii="Times New Roman" w:hAnsi="Times New Roman"/>
                <w:b/>
                <w:sz w:val="27"/>
                <w:szCs w:val="27"/>
              </w:rPr>
              <w:t xml:space="preserve">XV. Участь у культурному житті, проведенні дозвілля й </w:t>
            </w:r>
            <w:bookmarkStart w:id="12" w:name="_fugrp0l0e7ke"/>
            <w:bookmarkEnd w:id="12"/>
            <w:r>
              <w:rPr>
                <w:rFonts w:eastAsia="Arial" w:ascii="Times New Roman" w:hAnsi="Times New Roman"/>
                <w:b/>
                <w:sz w:val="27"/>
                <w:szCs w:val="27"/>
              </w:rPr>
              <w:t>відпочинку та заняттях спортом  (стаття 30 Конвенції)</w:t>
            </w:r>
          </w:p>
        </w:tc>
      </w:tr>
      <w:tr>
        <w:trPr/>
        <w:tc>
          <w:tcPr>
            <w:tcW w:w="626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1. </w:t>
            </w:r>
          </w:p>
        </w:tc>
        <w:tc>
          <w:tcPr>
            <w:tcW w:w="2295" w:type="dxa"/>
            <w:vMerge w:val="restart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Створення умов для забезпечення рівних прав і можливостей осіб з інвалідністю для занять фізичною культурою, спортом і фізкультурно-спортивною реабілітацією</w:t>
            </w:r>
          </w:p>
        </w:tc>
        <w:tc>
          <w:tcPr>
            <w:tcW w:w="5970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 сприяння у забезпечені архітектурної доступності та безперешкодного доступу до будівель, приміщень, у тому числі санітарного призначення, закладів фізичної культури і спорту, спортивних споруд</w:t>
            </w:r>
          </w:p>
        </w:tc>
        <w:tc>
          <w:tcPr>
            <w:tcW w:w="2500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збільшення на 10 відсотків щороку кількості закладів фізичної культури і спорту, спортивних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споруд, облаштованих з урахуванням потреб осіб з інвалідністю</w:t>
            </w:r>
          </w:p>
        </w:tc>
        <w:tc>
          <w:tcPr>
            <w:tcW w:w="1629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протягом 2021-2025 років</w:t>
            </w:r>
          </w:p>
        </w:tc>
        <w:tc>
          <w:tcPr>
            <w:tcW w:w="2963" w:type="dxa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Відділ молоді та спорту</w:t>
            </w:r>
          </w:p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295" w:type="dxa"/>
            <w:vMerge w:val="continue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2) забезпечення організації та проведення заходів з фізичної культури, спорту, фізкультурно-спортивної реабілітації осіб/дітей з інвалідністю</w:t>
            </w:r>
          </w:p>
        </w:tc>
        <w:tc>
          <w:tcPr>
            <w:tcW w:w="2500" w:type="dxa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shd w:fill="FFFFFF" w:val="clear"/>
              </w:rPr>
              <w:t xml:space="preserve">кількість проведених заходів </w:t>
            </w:r>
          </w:p>
        </w:tc>
        <w:tc>
          <w:tcPr>
            <w:tcW w:w="162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96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15983" w:type="dxa"/>
            <w:gridSpan w:val="6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X</w:t>
            </w:r>
            <w:r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I. Міжнародне співробітництво. Національне виконання та моніторинг (статті 32-33 </w:t>
            </w:r>
            <w:bookmarkStart w:id="13" w:name="_v2ixr7ids7po"/>
            <w:bookmarkEnd w:id="13"/>
            <w:r>
              <w:rPr>
                <w:rFonts w:ascii="Times New Roman" w:hAnsi="Times New Roman"/>
                <w:b/>
                <w:sz w:val="27"/>
                <w:szCs w:val="27"/>
              </w:rPr>
              <w:t>Конвенції)</w:t>
            </w:r>
          </w:p>
        </w:tc>
      </w:tr>
      <w:tr>
        <w:trPr/>
        <w:tc>
          <w:tcPr>
            <w:tcW w:w="626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> </w:t>
            </w:r>
          </w:p>
        </w:tc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Забезпечення конструктивного залучення ГО, які працюють у сфері прав осіб з інвалідністю, до формування політик і стратегій, спрямованих на виконання Конвенції </w:t>
            </w:r>
          </w:p>
        </w:tc>
        <w:tc>
          <w:tcPr>
            <w:tcW w:w="597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 залучення ГО до розробки програм Сєвєродонецької міської територіальної громади  у сфері прав осіб з інвалідністю  та здійснення моніторингу надання фінансової підтримки ГО</w:t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pacing w:val="-6"/>
                <w:sz w:val="27"/>
                <w:szCs w:val="27"/>
              </w:rPr>
              <w:t xml:space="preserve">розміщення результатів проведеного </w:t>
            </w:r>
            <w:r>
              <w:rPr>
                <w:rFonts w:ascii="Times New Roman" w:hAnsi="Times New Roman"/>
                <w:spacing w:val="-4"/>
                <w:sz w:val="27"/>
                <w:szCs w:val="27"/>
              </w:rPr>
              <w:t>моніторингу на офіційному вебсайті</w:t>
            </w:r>
          </w:p>
        </w:tc>
        <w:tc>
          <w:tcPr>
            <w:tcW w:w="162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щороку</w:t>
              <w:br/>
              <w:t>до 01 квітня</w:t>
            </w:r>
          </w:p>
        </w:tc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УСЗН</w:t>
            </w:r>
          </w:p>
        </w:tc>
      </w:tr>
    </w:tbl>
    <w:p>
      <w:pPr>
        <w:pStyle w:val="Style19"/>
        <w:spacing w:before="0" w:after="0"/>
        <w:ind w:hanging="0"/>
        <w:rPr>
          <w:rFonts w:ascii="Times New Roman" w:hAnsi="Times New Roman" w:eastAsia="Andale Sans UI"/>
          <w:sz w:val="27"/>
          <w:szCs w:val="27"/>
          <w:lang w:eastAsia="zh-CN"/>
        </w:rPr>
      </w:pPr>
      <w:r>
        <w:rPr>
          <w:rFonts w:eastAsia="Andale Sans UI" w:ascii="Times New Roman" w:hAnsi="Times New Roman"/>
          <w:sz w:val="27"/>
          <w:szCs w:val="27"/>
          <w:lang w:eastAsia="zh-CN"/>
        </w:rPr>
      </w:r>
    </w:p>
    <w:p>
      <w:pPr>
        <w:pStyle w:val="Normal"/>
        <w:suppressAutoHyphens w:val="true"/>
        <w:jc w:val="both"/>
        <w:rPr>
          <w:rFonts w:ascii="Times New Roman" w:hAnsi="Times New Roman" w:eastAsia="Andale Sans UI"/>
          <w:b/>
          <w:b/>
          <w:bCs/>
          <w:sz w:val="27"/>
          <w:szCs w:val="27"/>
          <w:lang w:eastAsia="zh-CN"/>
        </w:rPr>
      </w:pPr>
      <w:r>
        <w:rPr>
          <w:rFonts w:eastAsia="Andale Sans UI" w:ascii="Times New Roman" w:hAnsi="Times New Roman"/>
          <w:b/>
          <w:bCs/>
          <w:sz w:val="27"/>
          <w:szCs w:val="27"/>
          <w:lang w:eastAsia="zh-CN"/>
        </w:rPr>
        <w:tab/>
        <w:t xml:space="preserve">Заступник керівника </w:t>
      </w:r>
    </w:p>
    <w:p>
      <w:pPr>
        <w:pStyle w:val="Normal"/>
        <w:suppressAutoHyphens w:val="true"/>
        <w:ind w:firstLine="708"/>
        <w:jc w:val="both"/>
        <w:rPr/>
      </w:pPr>
      <w:r>
        <w:rPr>
          <w:rFonts w:eastAsia="Andale Sans UI" w:ascii="Times New Roman" w:hAnsi="Times New Roman"/>
          <w:b/>
          <w:bCs/>
          <w:sz w:val="27"/>
          <w:szCs w:val="27"/>
          <w:lang w:eastAsia="zh-CN"/>
        </w:rPr>
        <w:t>Сєвєродонецької міської ВЦА</w:t>
        <w:tab/>
        <w:tab/>
        <w:tab/>
        <w:tab/>
        <w:tab/>
        <w:tab/>
      </w:r>
      <w:r>
        <w:rPr>
          <w:rFonts w:eastAsia="Andale Sans UI" w:ascii="Times New Roman" w:hAnsi="Times New Roman"/>
          <w:b/>
          <w:sz w:val="27"/>
          <w:szCs w:val="27"/>
          <w:lang w:eastAsia="zh-CN"/>
        </w:rPr>
        <w:t>Тетяна ВЕРХОВСЬКА</w:t>
      </w:r>
      <w:bookmarkStart w:id="14" w:name="_GoBack"/>
      <w:bookmarkEnd w:id="14"/>
    </w:p>
    <w:p>
      <w:pPr>
        <w:pStyle w:val="Normal"/>
        <w:suppressAutoHyphens w:val="true"/>
        <w:jc w:val="both"/>
        <w:rPr/>
      </w:pPr>
      <w:r>
        <w:rPr/>
      </w:r>
    </w:p>
    <w:sectPr>
      <w:headerReference w:type="default" r:id="rId2"/>
      <w:type w:val="nextPage"/>
      <w:pgSz w:orient="landscape" w:w="16838" w:h="11906"/>
      <w:pgMar w:left="567" w:right="395" w:header="1418" w:top="1475" w:footer="0" w:bottom="567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ntiqua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8754588"/>
    </w:sdtPr>
    <w:sdtContent>
      <w:p>
        <w:pPr>
          <w:pStyle w:val="Style22"/>
          <w:jc w:val="center"/>
          <w:rPr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ascii="Times New Roman" w:hAnsi="Times New Roman"/>
          </w:rPr>
          <w:instrText> PAGE </w:instrText>
        </w:r>
        <w:r>
          <w:rPr>
            <w:sz w:val="24"/>
            <w:szCs w:val="24"/>
            <w:rFonts w:ascii="Times New Roman" w:hAnsi="Times New Roman"/>
          </w:rPr>
          <w:fldChar w:fldCharType="separate"/>
        </w:r>
        <w:r>
          <w:rPr>
            <w:sz w:val="24"/>
            <w:szCs w:val="24"/>
            <w:rFonts w:ascii="Times New Roman" w:hAnsi="Times New Roman"/>
          </w:rPr>
          <w:t>0</w:t>
        </w:r>
        <w:r>
          <w:rPr>
            <w:sz w:val="24"/>
            <w:szCs w:val="24"/>
            <w:rFonts w:ascii="Times New Roman" w:hAnsi="Times New Roman"/>
          </w:rPr>
          <w:fldChar w:fldCharType="end"/>
        </w:r>
      </w:p>
    </w:sdtContent>
  </w:sdt>
  <w:tbl>
    <w:tblPr>
      <w:tblStyle w:val="af3"/>
      <w:tblW w:w="15981" w:type="dxa"/>
      <w:jc w:val="left"/>
      <w:tblInd w:w="3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629"/>
      <w:gridCol w:w="2145"/>
      <w:gridCol w:w="6121"/>
      <w:gridCol w:w="2505"/>
      <w:gridCol w:w="1635"/>
      <w:gridCol w:w="2945"/>
    </w:tblGrid>
    <w:tr>
      <w:trPr/>
      <w:tc>
        <w:tcPr>
          <w:tcW w:w="629" w:type="dxa"/>
          <w:tcBorders/>
          <w:shd w:color="auto" w:fill="auto" w:val="clear"/>
        </w:tcPr>
        <w:p>
          <w:pPr>
            <w:pStyle w:val="Style19"/>
            <w:spacing w:before="0" w:after="0"/>
            <w:ind w:hanging="0"/>
            <w:jc w:val="center"/>
            <w:rPr>
              <w:rFonts w:ascii="Times New Roman" w:hAnsi="Times New Roman"/>
              <w:b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1</w:t>
          </w:r>
        </w:p>
      </w:tc>
      <w:tc>
        <w:tcPr>
          <w:tcW w:w="2145" w:type="dxa"/>
          <w:tcBorders/>
          <w:shd w:color="auto" w:fill="auto" w:val="clear"/>
        </w:tcPr>
        <w:p>
          <w:pPr>
            <w:pStyle w:val="Style19"/>
            <w:spacing w:before="0" w:after="0"/>
            <w:ind w:hanging="0"/>
            <w:jc w:val="center"/>
            <w:rPr>
              <w:rFonts w:ascii="Times New Roman" w:hAnsi="Times New Roman"/>
              <w:b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2</w:t>
          </w:r>
        </w:p>
      </w:tc>
      <w:tc>
        <w:tcPr>
          <w:tcW w:w="6121" w:type="dxa"/>
          <w:tcBorders/>
          <w:shd w:color="auto" w:fill="auto" w:val="clear"/>
        </w:tcPr>
        <w:p>
          <w:pPr>
            <w:pStyle w:val="Style19"/>
            <w:spacing w:before="0" w:after="0"/>
            <w:ind w:hanging="0"/>
            <w:jc w:val="center"/>
            <w:rPr>
              <w:rFonts w:ascii="Times New Roman" w:hAnsi="Times New Roman"/>
              <w:b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3</w:t>
          </w:r>
        </w:p>
      </w:tc>
      <w:tc>
        <w:tcPr>
          <w:tcW w:w="2505" w:type="dxa"/>
          <w:tcBorders/>
          <w:shd w:color="auto" w:fill="auto" w:val="clear"/>
        </w:tcPr>
        <w:p>
          <w:pPr>
            <w:pStyle w:val="Style19"/>
            <w:spacing w:before="0" w:after="0"/>
            <w:ind w:hanging="0"/>
            <w:jc w:val="center"/>
            <w:rPr>
              <w:rFonts w:ascii="Times New Roman" w:hAnsi="Times New Roman"/>
              <w:b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4</w:t>
          </w:r>
        </w:p>
      </w:tc>
      <w:tc>
        <w:tcPr>
          <w:tcW w:w="1635" w:type="dxa"/>
          <w:tcBorders/>
          <w:shd w:color="auto" w:fill="auto" w:val="clear"/>
        </w:tcPr>
        <w:p>
          <w:pPr>
            <w:pStyle w:val="Style19"/>
            <w:spacing w:before="0" w:after="0"/>
            <w:ind w:hanging="0"/>
            <w:jc w:val="center"/>
            <w:rPr>
              <w:rFonts w:ascii="Times New Roman" w:hAnsi="Times New Roman"/>
              <w:b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5</w:t>
          </w:r>
        </w:p>
      </w:tc>
      <w:tc>
        <w:tcPr>
          <w:tcW w:w="2945" w:type="dxa"/>
          <w:tcBorders/>
          <w:shd w:color="auto" w:fill="auto" w:val="clear"/>
        </w:tcPr>
        <w:p>
          <w:pPr>
            <w:pStyle w:val="Style19"/>
            <w:spacing w:before="0" w:after="0"/>
            <w:ind w:hanging="0"/>
            <w:jc w:val="center"/>
            <w:rPr>
              <w:rFonts w:ascii="Times New Roman" w:hAnsi="Times New Roman"/>
              <w:b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6</w:t>
          </w:r>
        </w:p>
      </w:tc>
    </w:tr>
  </w:tbl>
  <w:p>
    <w:pPr>
      <w:pStyle w:val="Style22"/>
      <w:rPr>
        <w:rFonts w:ascii="Times New Roman" w:hAnsi="Times New Roman"/>
        <w:sz w:val="6"/>
        <w:szCs w:val="6"/>
      </w:rPr>
    </w:pPr>
    <w:r>
      <w:rPr>
        <w:rFonts w:ascii="Times New Roman" w:hAnsi="Times New Roman"/>
        <w:sz w:val="6"/>
        <w:szCs w:val="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3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3441"/>
    <w:pPr>
      <w:widowControl/>
      <w:bidi w:val="0"/>
      <w:spacing w:before="0" w:after="0"/>
      <w:jc w:val="left"/>
    </w:pPr>
    <w:rPr>
      <w:rFonts w:ascii="Antiqua" w:hAnsi="Antiqua" w:eastAsia="Times New Roman" w:cs="Times New Roman"/>
      <w:color w:val="auto"/>
      <w:kern w:val="0"/>
      <w:sz w:val="26"/>
      <w:szCs w:val="20"/>
      <w:lang w:eastAsia="ru-RU" w:val="uk-UA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0"/>
    <w:qFormat/>
    <w:rsid w:val="00fe3441"/>
    <w:pPr>
      <w:keepNext w:val="true"/>
      <w:spacing w:before="120" w:after="0"/>
      <w:ind w:left="567" w:hanging="0"/>
      <w:outlineLvl w:val="1"/>
    </w:pPr>
    <w:rPr>
      <w:b/>
    </w:rPr>
  </w:style>
  <w:style w:type="paragraph" w:styleId="4">
    <w:name w:val="Heading 4"/>
    <w:basedOn w:val="Normal"/>
    <w:next w:val="Normal"/>
    <w:link w:val="40"/>
    <w:qFormat/>
    <w:rsid w:val="00fe3441"/>
    <w:pPr>
      <w:keepNext w:val="true"/>
      <w:spacing w:before="120" w:after="0"/>
      <w:ind w:left="567" w:hanging="0"/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fe3441"/>
    <w:rPr>
      <w:rFonts w:ascii="Antiqua" w:hAnsi="Antiqua" w:eastAsia="Times New Roman" w:cs="Times New Roman"/>
      <w:sz w:val="26"/>
      <w:szCs w:val="20"/>
      <w:lang w:eastAsia="ru-RU"/>
    </w:rPr>
  </w:style>
  <w:style w:type="character" w:styleId="21" w:customStyle="1">
    <w:name w:val="Заголовок 2 Знак"/>
    <w:basedOn w:val="DefaultParagraphFont"/>
    <w:link w:val="2"/>
    <w:qFormat/>
    <w:rsid w:val="00fe3441"/>
    <w:rPr>
      <w:rFonts w:ascii="Antiqua" w:hAnsi="Antiqua" w:eastAsia="Times New Roman" w:cs="Times New Roman"/>
      <w:b/>
      <w:sz w:val="26"/>
      <w:szCs w:val="20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dd70eb"/>
    <w:rPr>
      <w:rFonts w:ascii="Antiqua" w:hAnsi="Antiqua" w:eastAsia="Times New Roman" w:cs="Times New Roman"/>
      <w:sz w:val="26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453c93"/>
    <w:rPr>
      <w:rFonts w:ascii="Antiqua" w:hAnsi="Antiqua" w:eastAsia="Times New Roman" w:cs="Times New Roman"/>
      <w:sz w:val="26"/>
      <w:szCs w:val="20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fd7afa"/>
    <w:rPr>
      <w:rFonts w:ascii="Segoe UI" w:hAnsi="Segoe UI" w:eastAsia="Times New Roman" w:cs="Segoe UI"/>
      <w:sz w:val="18"/>
      <w:szCs w:val="18"/>
      <w:lang w:eastAsia="ru-RU"/>
    </w:rPr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9" w:customStyle="1">
    <w:name w:val="Нормальний текст"/>
    <w:basedOn w:val="Normal"/>
    <w:qFormat/>
    <w:rsid w:val="00fe3441"/>
    <w:pPr>
      <w:spacing w:before="120" w:after="0"/>
      <w:ind w:firstLine="567"/>
    </w:pPr>
    <w:rPr/>
  </w:style>
  <w:style w:type="paragraph" w:styleId="Style20" w:customStyle="1">
    <w:name w:val="Верхний и нижний колонтитулы"/>
    <w:basedOn w:val="Normal"/>
    <w:qFormat/>
    <w:pPr/>
    <w:rPr/>
  </w:style>
  <w:style w:type="paragraph" w:styleId="Style21">
    <w:name w:val="Footer"/>
    <w:basedOn w:val="Normal"/>
    <w:uiPriority w:val="99"/>
    <w:rsid w:val="00dd70eb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34"/>
    <w:qFormat/>
    <w:rsid w:val="00577888"/>
    <w:pPr>
      <w:spacing w:before="0" w:after="0"/>
      <w:ind w:left="720" w:hanging="0"/>
      <w:contextualSpacing/>
    </w:pPr>
    <w:rPr/>
  </w:style>
  <w:style w:type="paragraph" w:styleId="Style22">
    <w:name w:val="Header"/>
    <w:basedOn w:val="Normal"/>
    <w:uiPriority w:val="99"/>
    <w:unhideWhenUsed/>
    <w:rsid w:val="00453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fd7afa"/>
    <w:pPr/>
    <w:rPr>
      <w:rFonts w:ascii="Segoe UI" w:hAnsi="Segoe UI" w:cs="Segoe UI"/>
      <w:sz w:val="18"/>
      <w:szCs w:val="18"/>
    </w:rPr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fe344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Application>LibreOffice/6.4.4.2$Windows_X86_64 LibreOffice_project/3d775be2011f3886db32dfd395a6a6d1ca2630ff</Application>
  <Pages>13</Pages>
  <Words>2383</Words>
  <Characters>16719</Characters>
  <CharactersWithSpaces>31468</CharactersWithSpaces>
  <Paragraphs>276</Paragraphs>
  <Company>УТиСЗН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2021-04-29T13:05:00Z</dcterms:created>
  <dc:creator>Ирина И. Молчан</dc:creator>
  <dc:description/>
  <dc:language>uk-UA</dc:language>
  <cp:lastModifiedBy/>
  <cp:lastPrinted>2021-10-11T10:39:00Z</cp:lastPrinted>
  <dcterms:modified xsi:type="dcterms:W3CDTF">2021-10-19T15:07:12Z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УТиСЗН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