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44" w:rsidRPr="00BA2144" w:rsidRDefault="00BA2144" w:rsidP="00BA2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Додаток 1</w:t>
      </w:r>
    </w:p>
    <w:p w:rsidR="00BA2144" w:rsidRPr="00BA2144" w:rsidRDefault="00BA2144" w:rsidP="00BA2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   до розпорядження керівника </w:t>
      </w:r>
    </w:p>
    <w:p w:rsidR="00BA2144" w:rsidRPr="00BA2144" w:rsidRDefault="003E5D88" w:rsidP="00BA2144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="00BA2144"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BA2144"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ВЦА</w:t>
      </w:r>
      <w:r w:rsidR="00BA2144"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BA2144"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BA2144" w:rsidRPr="00BA2144" w:rsidRDefault="00BA2144" w:rsidP="00BA2144">
      <w:pPr>
        <w:spacing w:after="0" w:line="240" w:lineRule="auto"/>
        <w:ind w:left="849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від « </w:t>
      </w:r>
      <w:r w:rsidR="003E5D88">
        <w:rPr>
          <w:rFonts w:ascii="Times New Roman" w:eastAsia="Times New Roman" w:hAnsi="Times New Roman" w:cs="Times New Roman"/>
          <w:sz w:val="24"/>
          <w:szCs w:val="24"/>
          <w:lang w:val="en-US"/>
        </w:rPr>
        <w:t>25</w:t>
      </w: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3E5D88">
        <w:rPr>
          <w:rFonts w:ascii="Times New Roman" w:eastAsia="Times New Roman" w:hAnsi="Times New Roman" w:cs="Times New Roman"/>
          <w:sz w:val="24"/>
          <w:szCs w:val="24"/>
        </w:rPr>
        <w:t>березня</w:t>
      </w:r>
      <w:proofErr w:type="spellEnd"/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2021 року  № </w:t>
      </w:r>
      <w:r w:rsidR="003E5D88">
        <w:rPr>
          <w:rFonts w:ascii="Times New Roman" w:eastAsia="Times New Roman" w:hAnsi="Times New Roman" w:cs="Times New Roman"/>
          <w:sz w:val="24"/>
          <w:szCs w:val="24"/>
          <w:lang w:val="uk-UA"/>
        </w:rPr>
        <w:t>212</w:t>
      </w:r>
    </w:p>
    <w:p w:rsidR="00BA2144" w:rsidRPr="00BA2144" w:rsidRDefault="00BA2144" w:rsidP="00BA2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:rsidR="00BA2144" w:rsidRPr="00BA2144" w:rsidRDefault="00BA2144" w:rsidP="00BA2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ЗАВДАННЯ І ЗАХОДИ</w:t>
      </w:r>
    </w:p>
    <w:p w:rsidR="00BA2144" w:rsidRPr="00BA2144" w:rsidRDefault="00BA2144" w:rsidP="00BA2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2144">
        <w:rPr>
          <w:rFonts w:ascii="Times New Roman" w:eastAsia="Times New Roman" w:hAnsi="Times New Roman" w:cs="Times New Roman"/>
          <w:sz w:val="24"/>
          <w:szCs w:val="24"/>
          <w:lang w:val="uk-UA"/>
        </w:rPr>
        <w:t>З ВИКОНАННЯ МІСЬКОЇ ЦІЛЬОВОЇ КОМПЛЕКСНОЇ ПРОГРАМИ «МОЛОДЬ СЄВЄРОДОНЕЦЬКА» НА 2021 РІК</w:t>
      </w: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24"/>
        <w:gridCol w:w="2257"/>
        <w:gridCol w:w="1987"/>
        <w:gridCol w:w="3214"/>
        <w:gridCol w:w="1870"/>
        <w:gridCol w:w="2279"/>
        <w:gridCol w:w="1746"/>
      </w:tblGrid>
      <w:tr w:rsidR="00BA2144" w:rsidRPr="00BA2144" w:rsidTr="0021417E">
        <w:tc>
          <w:tcPr>
            <w:tcW w:w="2592" w:type="dxa"/>
            <w:tcBorders>
              <w:bottom w:val="single" w:sz="4" w:space="0" w:color="auto"/>
            </w:tcBorders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917" w:type="dxa"/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764" w:type="dxa"/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Прогнозований обсяг фінансування для виконання завдань в тис. грн.</w:t>
            </w:r>
          </w:p>
        </w:tc>
      </w:tr>
      <w:tr w:rsidR="00BA2144" w:rsidRPr="00BA2144" w:rsidTr="0021417E">
        <w:trPr>
          <w:trHeight w:val="1557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1.Здійснення державних і громадських заходів , спрямованих на популяризацію патріотизму, громадянської свідомості й активної громадянської позиції молоді.  Національно-патріотичне виховання молоді.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1. Управління освіти, навчальні заклади територіальної громади (професійно-технічні навчальні заклади, СНУ ім. В.Даля, СХМТ), відділ молоді та спорту, відділ культури,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міський територіальний центр комплектування та соціальної підтримки, ГО «Сєвєродонецька міська організація ветеранів України», молодіжні та дитячі  громадські організації.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2. Управління освіти, навчальні заклади територіальної громади,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міський територіальний центр комплектування та соціальної підтримки, громадські організації.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міський територіальний центр комплектування та соціальної підтримки, ГО «Сєвєродонецька міська організація ветеранів України», відділ молоді та спорту, управління освіти, відділ культури.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4. Управління освіти, відділ молоді та спорту,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міський територіальний центр комплектування та соціальної підтримки.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5.Сєвєродонецький міський територіальний центр комплектування та соціальної підтримки.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6.Сєвєродонецький міський територіальний центр комплектування та соціальної підтримки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7. Управління освіти,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міський територіальний центр комплектування та соціальної підтримки, громадські організації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8.Сєвєродонецький міський територіальний центр комплектування та соціальної підтримки.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9. Відділ культури,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міський територіальний центр комплектування та соціальної підтримки, управління освіти, навчальні заклади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10.Сєвєродонецький міський територіальний центр комплектування та соціальної підтримки.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11. Відділ культури, Міський Палац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культури, управління освіти, навчальні заклади територіальної громади,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міський територіальний центр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комплектування та соціальної підтримки.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12. Відділ молоді та спорту, відділ культури, організації та підприємства територіальної громади, структурні підрозділи ВЦА, громадські організації та ін.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13. Відділ молоді та спорту, органи учнівського та студентського самоврядування навчальних закладів територіальної громади (професійно-технічні навчальні заклади, СХМТ, СНУ ім. В. Даля).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14. Управління освіти, ДГО «Дивосвіт».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15.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міський відділ Кримінально-виконавчої інспекції.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 Управління освіти.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 Відділ культури.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18. Відділ молоді та спорту, навчальні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заклади територіальної громади, управління освіти.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19. Управління освіти, навчальні заклади територіальної громади.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Кількість залученої молоді.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Формування патріотичної свідомості молоді.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 Організація та проведення заходів для дітей та молоді з національно-патріотичного виховання, в тому числі  з вивчення історії та культури України, подвигів борців за незалежність, суверенітет та територіальну цілісність України, її демократичний вибір.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2.Вивчення та пропагування кращого досвіду військово-патріотичного та фізичного виховання молоді, сприяння збереженню військово-патріотичних клубів, музеїв, кімнат Бойової слави в навчальних закладах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3. Проведення роботи з молоддю допризовного віку: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проведення семінарів, конференцій, конкурсів з вивчення історії України та українського народу;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залучення молоді до проведення військово-патріотичних акцій;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проведення спартакіади допризовної молоді;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упорядкування територій меморіальних комплексів, могил загиблих воїнів;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допомога ветеранам війни та праці, вдовам загиблих.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 Організація та проведення змагань серед команд навчальних закладів з військово-прикладних видів спорту.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 Проведення роботи з професійної орієнтації серед юнаків щодо отримання військової спеціальності з метою підготовки молоді  до вступу у військово-навчальні заклади.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6.Сприяння виконанню Державної програми переходу Збройних Сил України до комплектування військовослужбовцями, які  проходять військову службу за контрактом. Проведення роботи щодо роз’яснення особливостей та значення контрактної служби.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7. Організація та проведення міського етапу Всеукраїнської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дитячо-юнацької військово-патріотичної гри «Сокіл» («Джура»).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 Організація відвідування учнівською молоддю військових частин.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9.Організація та проведення культурно-масових, спортивних та інформаційних заходів за участю молоді до Дня захисника Вітчизни та Дня Збройних Сил України.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10.Відвідування місць бойової слави регіону юнаками спільно з ветеранами військової служби, учасниками бойових дій.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11. Організація та проведення культурно-масових заходів за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участю молоді, присвячених історичним датам та видатним подіям: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соборності України;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- День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пам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яті героїв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Крут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- День визволення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від фашистських загарбників;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вшанування учасників бойових дій на території інших держав;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- День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пам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яті Чорнобильської катастрофи;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- День Перемоги;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День Конституції України;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- День скорботи та вшанування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пам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яті жертв війни в Україні;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визволення м. Сєвєродонецька від незаконних озброєних формувань;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Державного Прапору України;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Незалежності України;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визволення Луганської області від фашистських загарбників;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партизанської слави, День людей похилого віку, День ветеранів;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захисника України (День захисника Вітчизни);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визволення України від фашистських загарбників.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-День української писемності та мови;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Гідності та свободи;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- День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пам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яті жертв голодоморів;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волонтера;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День Збройних Сил України.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Гідність і толерантність.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12. Організація та проведення заходів до Дня молоді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(відзначення соціально активних представників молодого покоління, залучення молоді до спортивних та культурологічних заходів).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13. Організація поїздок молоді в інші регіони України з метою заохочення лідерів та активістів громадських організацій, органів учнівського та студентського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самоврядування та формування шанобливого ставлення до культури та традицій українського народу.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14. Проведення роботи з лідерами-волонтерами міської дитячої громадської організації «Дивосвіт» в межах акцій: «Від серця до серця», «Почуйте всі», «Милосердя», «Лелеченя добра» та ін.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Молодь у злагоді з законом.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15. Проведення індивідуально-профілактичної роботи з особами, засудженими до покарань, не пов’язаними з позбавленням волі, звільненими від відбування покарань з випробуванням, спрямованої на недопущення скоєння ними нових злочинів та протиправних дій.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 Організація діяльності міського право-освітнього клубу старшокласників «Я і закон».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 Діяльність правового клубу «Право знати право» на базі КЗ «Сєвєродонецька бібліотека для юнацтва ім. Й.Б.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Курлата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18. Сприяння проведенню просвітницьких заходів серед молоді  щодо затвердження гендерної рівності чоловіків та жінок у сучасному суспільстві, в тому числі і в рамках проведення міської акції «16 днів проти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насильства».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Охорона довкілля.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 Сприяння проведенню акцій, заходів, спрямованих на виховання бережного ставлення до природного та соціального, культурного та предметно-побутового довкілля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44" w:rsidRPr="00BA2144" w:rsidRDefault="00BA2144" w:rsidP="00BA2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Відділ молоді та спорту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ВЦА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Бюджет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Сєвєродонецькоїміської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764" w:type="dxa"/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24,925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BA2144" w:rsidRPr="00BA2144" w:rsidTr="0021417E">
        <w:tc>
          <w:tcPr>
            <w:tcW w:w="2592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2.Популяризація здорового і безпечного способу життя та культури здоров’я серед молоді.</w:t>
            </w:r>
          </w:p>
        </w:tc>
        <w:tc>
          <w:tcPr>
            <w:tcW w:w="2299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1.Відділ молоді та спорту, управління освіти, відділ культури.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 Управління освіти, СМЦСС, Управління охорони здоров’я, відділ молоді та спорту, громадські організації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3. Відділ молоді та спорту, управління освіти, навчальні заклади територіальної громади (професійно-технічні навчальні заклади, СХМТ).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4. Управління освіти, Центр туризму,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краєзнавства та екскурсій учнівської молоді,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Сєвєродонецьке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міське управління ДСНС України в Луганській обл., відділ молоді та спорту.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5. Управління освіти, відділ молоді та спорту, навчальні заклади територіальної громади (СНУ ім. В.Даля, СХМТ, професійно-технічні навчальні заклади,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Сєвєродонецьке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обласне музичне училище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ім.С.Прокоф’єва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6. Відділ молоді та спорту, КДЮСШ 1, 2, 3, СДЮСТШ ВВС «Садко», С ДЮК «Юність», громадські організації територіальної громади, в тому числі спортивного спрямування.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7. Відділ молоді та спорту, КДЮСШ 1.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 Відділ молоді та спорту, СДЮСТШ ВВС «Садко».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 Управління освіти, відділ молоді та спорту.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 Управління молоді та спорту.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 Управління освіти, навчальні заклади територіальної громади, СМЦСС, Управління охорони здоров’я, відділ молоді та спорту.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12. Управління освіти, СМЦСС, Управління охорони здоров’я, громадські організації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13. СМЦСС.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14. СМЦСС.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15. СМЦСС.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 СМЦСС,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молоді та спорту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048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Кількість залученої молоді.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35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«У здоровому тілі – здоровий дух»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1.Сприяння участі  молоді в міських, обласних, всеукраїнських та міжнародних заходах спортивного, культурологічного, просвітницького напрямків щодо підвищення рівня фізичного, духовного і соціального здоров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’я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дітей та молоді.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2.Організація інформаційно-просвітницьких заходів з питань формування здорового способу життя: акцій, «круглих столів»,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лекційно-тренінгової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роботи,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відеолекторіїв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бесід тощо.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3. Проведення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спартакіад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за участю дітей та учнівської молоді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 Організація та проведення зборів-змагань юних рятувальників «Школа безпеки».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 Проведення молодіжних заходів до Всесвітнього Дня туризму, Всесвітнього Дня здоров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 та ін.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6. Сприяння залученню дітей та молоді до занять фізичною культурою і  спортом в секціях ДЮСШ відділу молоді та спорту, спортивних клубах за місцем проживання, громадських організаціях спортивного напрямку тощо.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7. Організація та проведення Відкритої першості з тенісу «Молода гвардія», Відкритої першості міста Меморіал К.В.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Глухової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Клубного Чемпіонату України з настільного тенісу, регіональних змагань з боксу та ін., Відкритої першості міста з боксу Пам’яті майстра спорту з боксу В.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Христанкова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8. Організація та проведення Чемпіонатів та Кубків області з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водних видів спорту на базі СДЮСТШ «Садко».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 Сприяння участі молоді територіальної громади в обласних заходах, спрямованих на пропаганду здорового способу життя.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 Забезпечення лікувально-діагностичної допомоги молоді згідно зі стандартами і протоколами надання медичної допомоги, затвердженими МОЗ України, і адаптованими до місцевих умов.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11. Впровадження нових методів профілактики негативних явищ у молодіжному середовищі.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«У гармонії з собою і світом».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12. Сприяння зміцненню психічного здоров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 молодих людей, формування внутрішньої культури їх взаємин у сім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’ї та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соціальному середовищі. Популяризація серед молоді знань з безпеки життєдіяльності.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13. Проведення заходів для молоді щодо збереження репродуктивного здоров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я та підготовки до усвідомленого батьківства.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14. Здійснення соціального супроводу молодих сімей, осіб, які опинились в складних життєвих обставинах.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15. Організація роботи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консультаційного пункту на базі пологового будинку та жіночої консультації з метою надання психологічної допомоги молодим жінкам, сім’ям, які мають намір відмови від дитини.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 Випуск (придбання) буклетів, плакатів, листівок з пропаганди сімейних відносин, профілактики насильства , протидії торгівлі людьми та ін.</w:t>
            </w:r>
          </w:p>
        </w:tc>
        <w:tc>
          <w:tcPr>
            <w:tcW w:w="1900" w:type="dxa"/>
          </w:tcPr>
          <w:p w:rsidR="00BA2144" w:rsidRPr="00BA2144" w:rsidRDefault="00BA2144" w:rsidP="00BA2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Відділ молоді та спорту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ВЦА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1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Бюджет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Сєвєродонецькоїміської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764" w:type="dxa"/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33,1</w:t>
            </w:r>
          </w:p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BA2144" w:rsidRPr="00BA2144" w:rsidTr="00BA2144">
        <w:trPr>
          <w:trHeight w:val="9637"/>
        </w:trPr>
        <w:tc>
          <w:tcPr>
            <w:tcW w:w="2592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 xml:space="preserve">3.Набуття молодими людьми знань, навичок та інших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компетентностей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поза системою освіти, Створення цілісної системи неформальної освіти молоді задля сприяння громадському діалогу та створення додаткових умов для розвитку і самореалізації особистості.</w:t>
            </w:r>
          </w:p>
        </w:tc>
        <w:tc>
          <w:tcPr>
            <w:tcW w:w="2299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1.Відділ кадрової роботи та з питань служби в органах місцевого самоврядування.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 Відділ молоді та спорту, управління освіти, СМЦСС, навчальні заклади територіальної громади (СНУ В.Даля, професійно-технічні навчальні заклади, СХМТ), громадські організації.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3. Відділ молоді та спорту, громадські організації, управління освіти, навчальні заклади територіальної громади,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центр зайнятості.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 Громадські організації територіальної громади, відділ культури, відділ молоді та спорту.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 Управління освіти, відділ культури, відділ молоді та спорту, СДЮК «Юність».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6. Управління освіти.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7. Відділ культури, управління освіти, СДЮК «Юність», відділ молоді та спорту.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 Управління освіти, відділ молоді та спорту, СМЦСС, громадські організації.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 Відділ культури КУ «Сєвєродонецька галерея мистецтв».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 Відділ молоді та спорту.</w:t>
            </w:r>
          </w:p>
        </w:tc>
        <w:tc>
          <w:tcPr>
            <w:tcW w:w="2048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Кількість залученої молоді.</w:t>
            </w:r>
          </w:p>
        </w:tc>
        <w:tc>
          <w:tcPr>
            <w:tcW w:w="335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1.Залучення в установленому порядку представників  молоді, які мають відповідний рівень освіти, беруть активну участь у громадському житті та мають намір вступити на державну службу або в органи місцевого самоврядування, до стажування в відповідних органах з наступним зарахуванням осіб, які виявили відповідний професійний рівень і ділові якості, до кадрового резерву.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2. Сприяння участі лідерів та активістів молодіжних громадських організацій, органів учнівського та студентського самоврядування в обласних форумах, фестивалях, конкурсах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3. Проведення навчальних семінарів, лекцій, тренінгів, «круглих столів» для учнівської, студентської та працюючої молоді територіальної громади.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 Проведення заходів з метою підтримки молодіжних субкультур (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стрітболу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пейнтболу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лазертагу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репфестів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рокфестів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та ін..).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 Залучення молоді до творчих фестивалів, конкурсів, виставок, благодійних акцій та ін.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6.  Організація та проведення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регіонального турніру юних математиків пам’яті І.І.Антипова, регіональної інтелектуально-розважальної гри «Гуманітарна карусель», регіонального інтелектуального екологічного марафону, регіонального інтелектуального турніру експериментальної фізики пам’яті В.М.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Задорожнього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7. Організація молодіжних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артпроектів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фестивалів, залучення молоді до творчих колективів та об’єднань художньої самодіяльності.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 Сприяння участі дітей та молоді вразливих верств населення, в тому числі осіб з інвалідністю, в заходах,  конкурсах, змаганнях, акціях міста, регіону, області, України.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 Створення експозицій молодих митців.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 Підтримка молодіжних центрів, сприяння інклюзії в молодіжній роботі.</w:t>
            </w:r>
          </w:p>
        </w:tc>
        <w:tc>
          <w:tcPr>
            <w:tcW w:w="1900" w:type="dxa"/>
          </w:tcPr>
          <w:p w:rsidR="00BA2144" w:rsidRPr="00BA2144" w:rsidRDefault="00BA2144" w:rsidP="00BA2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Відділ молоді та спорту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ВЦА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1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Сєвєродонецькоїміської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64" w:type="dxa"/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48,795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BA2144" w:rsidRPr="00BA2144" w:rsidTr="00662937">
        <w:trPr>
          <w:trHeight w:val="5100"/>
        </w:trPr>
        <w:tc>
          <w:tcPr>
            <w:tcW w:w="2592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 xml:space="preserve">4. Створення умов та здійснення заходів, спрямованих на забезпечення первинної і вторинної зайнятості та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самозайнятості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 молоді. Сприяння працевлаштуванню.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99" w:type="dxa"/>
          </w:tcPr>
          <w:p w:rsid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1.Сєвєродонецький центр зайнятості.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центр зайнятості.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центр зайнятості.</w:t>
            </w:r>
          </w:p>
          <w:p w:rsid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4.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центр зайнятості.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5.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центр зайнятості.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6.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центр зайнятості.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7. Навчальні заклади територіальної громади, відділ молоді та спорту, управління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освіти,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СДЮК «Юність»,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центр зайнятості.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8.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центр зайнятості.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9.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Сєвєродонецький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центр зайнятості.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 Громадські організації, навчальні заклади територіальної громади, управління освіти,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відділ молоді та спорту.</w:t>
            </w:r>
          </w:p>
        </w:tc>
        <w:tc>
          <w:tcPr>
            <w:tcW w:w="2048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Сприяння становленню у молоді почуття національної гідності, готовності захищати суверенітет України.</w:t>
            </w:r>
          </w:p>
        </w:tc>
        <w:tc>
          <w:tcPr>
            <w:tcW w:w="3357" w:type="dxa"/>
          </w:tcPr>
          <w:p w:rsid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Профорієнтація.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1.Систематичний аналіз молодіжної складової на ринку праці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 Організація професійного навчання безробітної молоді (в тому числі шляхом стажування її на підприємствах територіальної громади).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3. Залучення до участі в громадських оплачуваних роботах молоді, яка перебуває на обліку як безробітна.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4. Проведення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профконсультаційної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та профорієнтаційної роботи з учнями загальноосвітніх навчальних закладів.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 Проведення молодіжних ярмарків вакансій за участю представників середніх спеціальних та вищих навчальних закладів, підприємств та організацій різних форм власності.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6. Забезпечення  режиму найбільшого сприяння професійному навчанню, працевлаштуванню випускників школи-інтернату, дітей-сиріт та дітей, позбавлених батьківського піклування, підлітків, які залишили навчання, молодих осіб з інвалідністю, представників молоді з сімей, які опинились в складних життєвих обставинах.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7. Підтримка діяльності молодіжних трудових загонів, в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тому числі організація та проведення Школи педагога-організатора в рамках вторинної зайнятості молоді.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Молодіжне підприємництво.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8. Одноразова виплата допомоги по безробіттю для організації підприємницької діяльності.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9. Надання інформації щодо участі у міжнародних програмах підтримки підприємництва в Україні (ПРООН, «Українські рубежі», «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MERSYCORPS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 тощо).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Волонтерський рух.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 Залучення молоді до волонтерської роботи як спосіб реалізації у суспільно значущій діяльності, неформальної освіти та вторинної зайнятості.</w:t>
            </w:r>
          </w:p>
        </w:tc>
        <w:tc>
          <w:tcPr>
            <w:tcW w:w="1900" w:type="dxa"/>
          </w:tcPr>
          <w:p w:rsidR="00BA2144" w:rsidRPr="00BA2144" w:rsidRDefault="00BA2144" w:rsidP="00BA2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Відділ молоді та спорту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ВЦА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1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Бюджет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Сєвєродонецькоїміської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764" w:type="dxa"/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8,18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BA2144" w:rsidRPr="00BA2144" w:rsidTr="0021417E">
        <w:tc>
          <w:tcPr>
            <w:tcW w:w="2592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5. Забезпечення інформаційної, консультативної, організаційної та іншої партнерської підтримки молоді, що проживає на тимчасово окупованій тритії України та внутрішньо переміщених осіб.</w:t>
            </w:r>
          </w:p>
        </w:tc>
        <w:tc>
          <w:tcPr>
            <w:tcW w:w="2299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 Управління освіти, навчальні заклади територіальної громади, громадські організації.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 Відділ молоді та спорту, управління освіти, навчальні заклади територіальної громади.</w:t>
            </w:r>
          </w:p>
          <w:p w:rsid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662937" w:rsidRPr="00BA2144" w:rsidRDefault="00662937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3. Управління освіти, навчальні заклади територіальної громади, громадські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організації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662937" w:rsidRDefault="00662937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 Відділ молоді та спорту, відділ культури, управління освіти, СДЮК «Юність».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662937" w:rsidRDefault="00662937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662937" w:rsidRDefault="00662937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662937" w:rsidRPr="00BA2144" w:rsidRDefault="00662937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 Громадські організації, управління освіти, відділ молоді та спорту, відділ внутрішньої політики та зв’язків з громадськістю.</w:t>
            </w:r>
          </w:p>
        </w:tc>
        <w:tc>
          <w:tcPr>
            <w:tcW w:w="2048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35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Психологічна реабілітація дітей та молоді.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 Проведення для дітей та молоді занять з психологами, залучення до різних форм спілкування та суспільно-корисної діяльності.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 Організація оздоровлення та відпочинку дітей та молоді з числа переселенців.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Соціальна адаптація.</w:t>
            </w:r>
          </w:p>
          <w:p w:rsidR="00662937" w:rsidRPr="00BA2144" w:rsidRDefault="00662937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3. Сприяння соціальній адаптації молоді з числа вимушено переміщених осіб :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освітній,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трудовій,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- громадсько-політичній,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 змістовного дозвілля.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 Залучення дітей та молоді до занять у спортивних секціях КДЮСШ відділу молоді та спорту та СДЮСТШ ВВС «Садко», С ДЮК «Юність», колективах закладів відділу культури , гуртках позашкільних закладів управління освіти.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Корекція стереотипів суспільної свідомості.</w:t>
            </w:r>
          </w:p>
          <w:p w:rsidR="00662937" w:rsidRPr="00BA2144" w:rsidRDefault="00662937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 Організація та проведення семінарів, «круглих столів», інформаційних заходів щодо роботи з вимушено переміщеними особами, в тому числі з дітьми та молоддю.</w:t>
            </w:r>
          </w:p>
        </w:tc>
        <w:tc>
          <w:tcPr>
            <w:tcW w:w="1900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1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764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BA2144" w:rsidRPr="00BA2144" w:rsidTr="0021417E">
        <w:trPr>
          <w:trHeight w:val="423"/>
        </w:trPr>
        <w:tc>
          <w:tcPr>
            <w:tcW w:w="2592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6.Надання  підтримки молодіжним та дитячим громадським організаціям.</w:t>
            </w:r>
          </w:p>
        </w:tc>
        <w:tc>
          <w:tcPr>
            <w:tcW w:w="2299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 Відділ молоді та спорту, органи учнівського та студентського самоврядування, громадські організації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 Відділ молоді та спорту, громадські організації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3. Відділ молоді та спорту, управління освіти, відділ культури.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 Навчальні заклади територіальної громади, відділ молоді та спорту, громадські організації.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 Громадські організації територіальної громади, відділ молоді та спорту, управління освіти.</w:t>
            </w:r>
          </w:p>
        </w:tc>
        <w:tc>
          <w:tcPr>
            <w:tcW w:w="2048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Кількість залученої молоді.</w:t>
            </w:r>
          </w:p>
        </w:tc>
        <w:tc>
          <w:tcPr>
            <w:tcW w:w="335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1.Організація та проведення конкурсів проектів та заходів, спрямованих на соціальний розвиток молоді, які реалізуються спільно з громадськими організаціями, органами учнівського та студентського самоврядування.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 Святкування Дня молодіжних та дитячих громадських організацій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3. Сприяння діяльності молодіжних та дитячих громадських організацій , підтримка їх ініціатив, спрямованих на розвиток духовного, фізичного та творчого потенціалу особистості.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4. Забезпечення організаційної, інформаційно-методичної підтримки органів учнівського та студентського самоврядування.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5. Святкування міжнародних свят: Дня молодіжної демократії, міжнародного Дня волонтера, міжнародного Дня молоді та ін.</w:t>
            </w:r>
          </w:p>
        </w:tc>
        <w:tc>
          <w:tcPr>
            <w:tcW w:w="1900" w:type="dxa"/>
          </w:tcPr>
          <w:p w:rsidR="00BA2144" w:rsidRPr="00BA2144" w:rsidRDefault="00BA2144" w:rsidP="00BA21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Відділ молоді та спорту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ВЦА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1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Бюджет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Сєвєродонецькоїміської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територіальної громади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764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Згідно заходів Додатку 2 даної програми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BA2144" w:rsidRPr="00BA2144" w:rsidTr="0021417E">
        <w:tc>
          <w:tcPr>
            <w:tcW w:w="2592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7.Забезпечення молодіжного співробітництва, в тому числі між іншими регіонами України та в рамках міжнародного спілкування.</w:t>
            </w:r>
          </w:p>
        </w:tc>
        <w:tc>
          <w:tcPr>
            <w:tcW w:w="2299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1. Громадські організації територіальної громади, управління освіти, відділ молоді та спорту, відділ культури, навчальні заклади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2. Відділ внутрішньої політики та зв’язків з громадськістю.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3. Відділ молоді та спорту.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4. Відділ молоді та спорту, громадські організації територіальної громади, навчальні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заклади територіальної громади.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048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Кількість залученої молоді.</w:t>
            </w:r>
          </w:p>
        </w:tc>
        <w:tc>
          <w:tcPr>
            <w:tcW w:w="335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1. Сприяння міжрегіональним та міжнародним молодіжним, в тому числі студентським обмінам </w:t>
            </w:r>
            <w:proofErr w:type="spellStart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делигаціями</w:t>
            </w:r>
            <w:proofErr w:type="spellEnd"/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 Активізація участі міських молодіжних об’єднань, клубів, творчих колективів в міжрегіональних та міжнародних фестивалях, змаганнях, конференціях, зустрічах та ін.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2. Розміщення в міських ЗМІ інформації щодо організації та проведення обласних та всеукраїнських молодіжних конкурсів, фестивалів та ін. 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3. Висвітлення заходів молодіжної політики міста на офіційному сайті управління молоді та спорту облдержадміністрації і Луганського обласного центру підтримки молодіжних ініціатив та соціальних досліджень.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4. Співпраця з міжнародними фондами та організаціями щодо проведення брифінгів, тренінгів, «круглих столів» з метою підвищення рівня обізнаності та зацікавленості молоді в питаннях </w:t>
            </w: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lastRenderedPageBreak/>
              <w:t>євроінтеграції та реформування в рамках імплементації Угоди про асоціацію між Україною та Євросоюзом.</w:t>
            </w:r>
          </w:p>
        </w:tc>
        <w:tc>
          <w:tcPr>
            <w:tcW w:w="1900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1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764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Не потребує фінансування</w:t>
            </w: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</w:tr>
      <w:tr w:rsidR="00BA2144" w:rsidRPr="00BA2144" w:rsidTr="0021417E">
        <w:tc>
          <w:tcPr>
            <w:tcW w:w="2592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99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048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35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00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917" w:type="dxa"/>
          </w:tcPr>
          <w:p w:rsidR="00BA2144" w:rsidRPr="00BA2144" w:rsidRDefault="00BA2144" w:rsidP="00BA2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РАЗОМ:</w:t>
            </w:r>
          </w:p>
        </w:tc>
        <w:tc>
          <w:tcPr>
            <w:tcW w:w="1764" w:type="dxa"/>
          </w:tcPr>
          <w:p w:rsidR="00BA2144" w:rsidRPr="00BA2144" w:rsidRDefault="00BA2144" w:rsidP="00BA2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A21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115,0</w:t>
            </w:r>
          </w:p>
        </w:tc>
      </w:tr>
    </w:tbl>
    <w:p w:rsidR="00BA2144" w:rsidRPr="00BA2144" w:rsidRDefault="00BA2144" w:rsidP="00BA2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:rsidR="00BA2144" w:rsidRPr="00BA2144" w:rsidRDefault="00BA2144" w:rsidP="00BA2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uk-UA"/>
        </w:rPr>
      </w:pPr>
    </w:p>
    <w:p w:rsidR="00BA2144" w:rsidRPr="00BA2144" w:rsidRDefault="00BA2144" w:rsidP="00BA2144">
      <w:pPr>
        <w:spacing w:after="0" w:line="240" w:lineRule="auto"/>
        <w:ind w:left="708" w:firstLine="1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Начальник відділу молоді та спорту</w:t>
      </w: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BA21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Юрій КУЗЬМЕНКО</w:t>
      </w:r>
      <w:bookmarkStart w:id="0" w:name="_GoBack"/>
      <w:bookmarkEnd w:id="0"/>
    </w:p>
    <w:sectPr w:rsidR="00BA2144" w:rsidRPr="00BA2144" w:rsidSect="0044778B">
      <w:pgSz w:w="16838" w:h="11906" w:orient="landscape"/>
      <w:pgMar w:top="72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4EC3"/>
    <w:multiLevelType w:val="hybridMultilevel"/>
    <w:tmpl w:val="5684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66631B"/>
    <w:multiLevelType w:val="hybridMultilevel"/>
    <w:tmpl w:val="B80C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A34EE"/>
    <w:multiLevelType w:val="hybridMultilevel"/>
    <w:tmpl w:val="24145EE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F57337"/>
    <w:multiLevelType w:val="hybridMultilevel"/>
    <w:tmpl w:val="0EEC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4638CE"/>
    <w:multiLevelType w:val="hybridMultilevel"/>
    <w:tmpl w:val="A244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62733A"/>
    <w:multiLevelType w:val="hybridMultilevel"/>
    <w:tmpl w:val="41A8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3307D2"/>
    <w:multiLevelType w:val="hybridMultilevel"/>
    <w:tmpl w:val="3F586E30"/>
    <w:lvl w:ilvl="0" w:tplc="30E8990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970CB"/>
    <w:multiLevelType w:val="hybridMultilevel"/>
    <w:tmpl w:val="83281E96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D04881"/>
    <w:multiLevelType w:val="hybridMultilevel"/>
    <w:tmpl w:val="46CA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9385908"/>
    <w:multiLevelType w:val="hybridMultilevel"/>
    <w:tmpl w:val="C708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15003B"/>
    <w:multiLevelType w:val="hybridMultilevel"/>
    <w:tmpl w:val="DED414A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214D4B"/>
    <w:multiLevelType w:val="hybridMultilevel"/>
    <w:tmpl w:val="1A22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D770FF1"/>
    <w:multiLevelType w:val="hybridMultilevel"/>
    <w:tmpl w:val="99BEB5EA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473E3F"/>
    <w:multiLevelType w:val="hybridMultilevel"/>
    <w:tmpl w:val="42401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2916"/>
    <w:rsid w:val="00072D12"/>
    <w:rsid w:val="003E5D88"/>
    <w:rsid w:val="00401487"/>
    <w:rsid w:val="00662937"/>
    <w:rsid w:val="008A4796"/>
    <w:rsid w:val="00A408D6"/>
    <w:rsid w:val="00AE63E9"/>
    <w:rsid w:val="00BA2144"/>
    <w:rsid w:val="00C84AA2"/>
    <w:rsid w:val="00E42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72D12"/>
  </w:style>
  <w:style w:type="paragraph" w:styleId="1">
    <w:name w:val="heading 1"/>
    <w:basedOn w:val="a"/>
    <w:next w:val="a"/>
    <w:link w:val="10"/>
    <w:uiPriority w:val="99"/>
    <w:qFormat/>
    <w:rsid w:val="00BA214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 w:eastAsia="uk-UA"/>
    </w:rPr>
  </w:style>
  <w:style w:type="paragraph" w:styleId="2">
    <w:name w:val="heading 2"/>
    <w:basedOn w:val="a"/>
    <w:next w:val="a"/>
    <w:link w:val="20"/>
    <w:uiPriority w:val="99"/>
    <w:qFormat/>
    <w:rsid w:val="00BA214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en-US" w:eastAsia="uk-UA"/>
    </w:rPr>
  </w:style>
  <w:style w:type="paragraph" w:styleId="3">
    <w:name w:val="heading 3"/>
    <w:basedOn w:val="a"/>
    <w:next w:val="a"/>
    <w:link w:val="30"/>
    <w:uiPriority w:val="99"/>
    <w:qFormat/>
    <w:rsid w:val="00BA214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uk-UA"/>
    </w:rPr>
  </w:style>
  <w:style w:type="paragraph" w:styleId="4">
    <w:name w:val="heading 4"/>
    <w:basedOn w:val="a"/>
    <w:next w:val="a"/>
    <w:link w:val="40"/>
    <w:uiPriority w:val="99"/>
    <w:qFormat/>
    <w:rsid w:val="00BA214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uk-UA"/>
    </w:rPr>
  </w:style>
  <w:style w:type="paragraph" w:styleId="5">
    <w:name w:val="heading 5"/>
    <w:basedOn w:val="a"/>
    <w:next w:val="a"/>
    <w:link w:val="50"/>
    <w:uiPriority w:val="99"/>
    <w:qFormat/>
    <w:rsid w:val="00BA214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uk-UA"/>
    </w:rPr>
  </w:style>
  <w:style w:type="paragraph" w:styleId="6">
    <w:name w:val="heading 6"/>
    <w:basedOn w:val="a"/>
    <w:next w:val="a"/>
    <w:link w:val="60"/>
    <w:uiPriority w:val="99"/>
    <w:qFormat/>
    <w:rsid w:val="00BA214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en-US" w:eastAsia="uk-UA"/>
    </w:rPr>
  </w:style>
  <w:style w:type="paragraph" w:styleId="7">
    <w:name w:val="heading 7"/>
    <w:basedOn w:val="a"/>
    <w:next w:val="a"/>
    <w:link w:val="70"/>
    <w:uiPriority w:val="99"/>
    <w:qFormat/>
    <w:rsid w:val="00BA214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uk-UA"/>
    </w:rPr>
  </w:style>
  <w:style w:type="paragraph" w:styleId="8">
    <w:name w:val="heading 8"/>
    <w:basedOn w:val="a"/>
    <w:next w:val="a"/>
    <w:link w:val="80"/>
    <w:uiPriority w:val="99"/>
    <w:qFormat/>
    <w:rsid w:val="00BA214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uk-UA"/>
    </w:rPr>
  </w:style>
  <w:style w:type="paragraph" w:styleId="9">
    <w:name w:val="heading 9"/>
    <w:basedOn w:val="a"/>
    <w:next w:val="a"/>
    <w:link w:val="90"/>
    <w:uiPriority w:val="99"/>
    <w:qFormat/>
    <w:rsid w:val="00BA2144"/>
    <w:pPr>
      <w:spacing w:before="240" w:after="60" w:line="240" w:lineRule="auto"/>
      <w:outlineLvl w:val="8"/>
    </w:pPr>
    <w:rPr>
      <w:rFonts w:ascii="Cambria" w:eastAsia="Calibri" w:hAnsi="Cambria" w:cs="Times New Roman"/>
      <w:sz w:val="20"/>
      <w:szCs w:val="20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2144"/>
    <w:rPr>
      <w:rFonts w:ascii="Cambria" w:eastAsia="Calibri" w:hAnsi="Cambria" w:cs="Times New Roman"/>
      <w:b/>
      <w:bCs/>
      <w:kern w:val="32"/>
      <w:sz w:val="32"/>
      <w:szCs w:val="32"/>
      <w:lang w:val="en-US" w:eastAsia="uk-UA"/>
    </w:rPr>
  </w:style>
  <w:style w:type="character" w:customStyle="1" w:styleId="20">
    <w:name w:val="Заголовок 2 Знак"/>
    <w:basedOn w:val="a0"/>
    <w:link w:val="2"/>
    <w:uiPriority w:val="99"/>
    <w:rsid w:val="00BA2144"/>
    <w:rPr>
      <w:rFonts w:ascii="Cambria" w:eastAsia="Calibri" w:hAnsi="Cambria" w:cs="Times New Roman"/>
      <w:b/>
      <w:bCs/>
      <w:i/>
      <w:iCs/>
      <w:sz w:val="28"/>
      <w:szCs w:val="28"/>
      <w:lang w:val="en-US" w:eastAsia="uk-UA"/>
    </w:rPr>
  </w:style>
  <w:style w:type="character" w:customStyle="1" w:styleId="30">
    <w:name w:val="Заголовок 3 Знак"/>
    <w:basedOn w:val="a0"/>
    <w:link w:val="3"/>
    <w:uiPriority w:val="99"/>
    <w:rsid w:val="00BA2144"/>
    <w:rPr>
      <w:rFonts w:ascii="Cambria" w:eastAsia="Calibri" w:hAnsi="Cambria" w:cs="Times New Roman"/>
      <w:b/>
      <w:bCs/>
      <w:sz w:val="26"/>
      <w:szCs w:val="26"/>
      <w:lang w:val="en-US" w:eastAsia="uk-UA"/>
    </w:rPr>
  </w:style>
  <w:style w:type="character" w:customStyle="1" w:styleId="40">
    <w:name w:val="Заголовок 4 Знак"/>
    <w:basedOn w:val="a0"/>
    <w:link w:val="4"/>
    <w:uiPriority w:val="99"/>
    <w:rsid w:val="00BA2144"/>
    <w:rPr>
      <w:rFonts w:ascii="Calibri" w:eastAsia="Times New Roman" w:hAnsi="Calibri" w:cs="Times New Roman"/>
      <w:b/>
      <w:bCs/>
      <w:sz w:val="28"/>
      <w:szCs w:val="28"/>
      <w:lang w:val="en-US" w:eastAsia="uk-UA"/>
    </w:rPr>
  </w:style>
  <w:style w:type="character" w:customStyle="1" w:styleId="50">
    <w:name w:val="Заголовок 5 Знак"/>
    <w:basedOn w:val="a0"/>
    <w:link w:val="5"/>
    <w:uiPriority w:val="99"/>
    <w:rsid w:val="00BA2144"/>
    <w:rPr>
      <w:rFonts w:ascii="Calibri" w:eastAsia="Times New Roman" w:hAnsi="Calibri" w:cs="Times New Roman"/>
      <w:b/>
      <w:bCs/>
      <w:i/>
      <w:iCs/>
      <w:sz w:val="26"/>
      <w:szCs w:val="26"/>
      <w:lang w:val="en-US" w:eastAsia="uk-UA"/>
    </w:rPr>
  </w:style>
  <w:style w:type="character" w:customStyle="1" w:styleId="60">
    <w:name w:val="Заголовок 6 Знак"/>
    <w:basedOn w:val="a0"/>
    <w:link w:val="6"/>
    <w:uiPriority w:val="99"/>
    <w:rsid w:val="00BA2144"/>
    <w:rPr>
      <w:rFonts w:ascii="Calibri" w:eastAsia="Times New Roman" w:hAnsi="Calibri" w:cs="Times New Roman"/>
      <w:b/>
      <w:bCs/>
      <w:sz w:val="20"/>
      <w:szCs w:val="20"/>
      <w:lang w:val="en-US" w:eastAsia="uk-UA"/>
    </w:rPr>
  </w:style>
  <w:style w:type="character" w:customStyle="1" w:styleId="70">
    <w:name w:val="Заголовок 7 Знак"/>
    <w:basedOn w:val="a0"/>
    <w:link w:val="7"/>
    <w:uiPriority w:val="99"/>
    <w:rsid w:val="00BA2144"/>
    <w:rPr>
      <w:rFonts w:ascii="Calibri" w:eastAsia="Times New Roman" w:hAnsi="Calibri" w:cs="Times New Roman"/>
      <w:sz w:val="24"/>
      <w:szCs w:val="24"/>
      <w:lang w:val="en-US" w:eastAsia="uk-UA"/>
    </w:rPr>
  </w:style>
  <w:style w:type="character" w:customStyle="1" w:styleId="80">
    <w:name w:val="Заголовок 8 Знак"/>
    <w:basedOn w:val="a0"/>
    <w:link w:val="8"/>
    <w:uiPriority w:val="99"/>
    <w:rsid w:val="00BA2144"/>
    <w:rPr>
      <w:rFonts w:ascii="Calibri" w:eastAsia="Times New Roman" w:hAnsi="Calibri" w:cs="Times New Roman"/>
      <w:i/>
      <w:iCs/>
      <w:sz w:val="24"/>
      <w:szCs w:val="24"/>
      <w:lang w:val="en-US" w:eastAsia="uk-UA"/>
    </w:rPr>
  </w:style>
  <w:style w:type="character" w:customStyle="1" w:styleId="90">
    <w:name w:val="Заголовок 9 Знак"/>
    <w:basedOn w:val="a0"/>
    <w:link w:val="9"/>
    <w:uiPriority w:val="99"/>
    <w:rsid w:val="00BA2144"/>
    <w:rPr>
      <w:rFonts w:ascii="Cambria" w:eastAsia="Calibri" w:hAnsi="Cambria" w:cs="Times New Roman"/>
      <w:sz w:val="20"/>
      <w:szCs w:val="20"/>
      <w:lang w:val="en-US" w:eastAsia="uk-UA"/>
    </w:rPr>
  </w:style>
  <w:style w:type="numbering" w:customStyle="1" w:styleId="11">
    <w:name w:val="Нет списка1"/>
    <w:next w:val="a2"/>
    <w:uiPriority w:val="99"/>
    <w:semiHidden/>
    <w:unhideWhenUsed/>
    <w:rsid w:val="00BA2144"/>
  </w:style>
  <w:style w:type="paragraph" w:styleId="a3">
    <w:name w:val="Title"/>
    <w:basedOn w:val="a"/>
    <w:next w:val="a"/>
    <w:link w:val="a4"/>
    <w:uiPriority w:val="99"/>
    <w:qFormat/>
    <w:rsid w:val="00BA214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 w:eastAsia="uk-UA"/>
    </w:rPr>
  </w:style>
  <w:style w:type="character" w:customStyle="1" w:styleId="a4">
    <w:name w:val="Название Знак"/>
    <w:basedOn w:val="a0"/>
    <w:link w:val="a3"/>
    <w:uiPriority w:val="99"/>
    <w:rsid w:val="00BA2144"/>
    <w:rPr>
      <w:rFonts w:ascii="Cambria" w:eastAsia="Calibri" w:hAnsi="Cambria" w:cs="Times New Roman"/>
      <w:b/>
      <w:bCs/>
      <w:kern w:val="28"/>
      <w:sz w:val="32"/>
      <w:szCs w:val="32"/>
      <w:lang w:val="en-US" w:eastAsia="uk-UA"/>
    </w:rPr>
  </w:style>
  <w:style w:type="paragraph" w:styleId="a5">
    <w:name w:val="Subtitle"/>
    <w:basedOn w:val="a"/>
    <w:next w:val="a"/>
    <w:link w:val="a6"/>
    <w:uiPriority w:val="99"/>
    <w:qFormat/>
    <w:rsid w:val="00BA214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 w:eastAsia="uk-UA"/>
    </w:rPr>
  </w:style>
  <w:style w:type="character" w:customStyle="1" w:styleId="a6">
    <w:name w:val="Подзаголовок Знак"/>
    <w:basedOn w:val="a0"/>
    <w:link w:val="a5"/>
    <w:uiPriority w:val="99"/>
    <w:rsid w:val="00BA2144"/>
    <w:rPr>
      <w:rFonts w:ascii="Cambria" w:eastAsia="Calibri" w:hAnsi="Cambria" w:cs="Times New Roman"/>
      <w:sz w:val="24"/>
      <w:szCs w:val="24"/>
      <w:lang w:val="en-US" w:eastAsia="uk-UA"/>
    </w:rPr>
  </w:style>
  <w:style w:type="character" w:styleId="a7">
    <w:name w:val="Strong"/>
    <w:basedOn w:val="a0"/>
    <w:uiPriority w:val="99"/>
    <w:qFormat/>
    <w:rsid w:val="00BA2144"/>
    <w:rPr>
      <w:rFonts w:cs="Times New Roman"/>
      <w:b/>
    </w:rPr>
  </w:style>
  <w:style w:type="character" w:styleId="a8">
    <w:name w:val="Emphasis"/>
    <w:basedOn w:val="a0"/>
    <w:uiPriority w:val="99"/>
    <w:qFormat/>
    <w:rsid w:val="00BA2144"/>
    <w:rPr>
      <w:rFonts w:ascii="Calibri" w:hAnsi="Calibri" w:cs="Times New Roman"/>
      <w:b/>
      <w:i/>
    </w:rPr>
  </w:style>
  <w:style w:type="paragraph" w:styleId="a9">
    <w:name w:val="No Spacing"/>
    <w:basedOn w:val="a"/>
    <w:uiPriority w:val="99"/>
    <w:qFormat/>
    <w:rsid w:val="00BA214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a">
    <w:name w:val="List Paragraph"/>
    <w:basedOn w:val="a"/>
    <w:uiPriority w:val="99"/>
    <w:qFormat/>
    <w:rsid w:val="00BA214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21">
    <w:name w:val="Quote"/>
    <w:basedOn w:val="a"/>
    <w:next w:val="a"/>
    <w:link w:val="22"/>
    <w:uiPriority w:val="99"/>
    <w:qFormat/>
    <w:rsid w:val="00BA2144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uk-UA"/>
    </w:rPr>
  </w:style>
  <w:style w:type="character" w:customStyle="1" w:styleId="22">
    <w:name w:val="Цитата 2 Знак"/>
    <w:basedOn w:val="a0"/>
    <w:link w:val="21"/>
    <w:uiPriority w:val="99"/>
    <w:rsid w:val="00BA2144"/>
    <w:rPr>
      <w:rFonts w:ascii="Calibri" w:eastAsia="Times New Roman" w:hAnsi="Calibri" w:cs="Times New Roman"/>
      <w:i/>
      <w:sz w:val="24"/>
      <w:szCs w:val="24"/>
      <w:lang w:val="en-US" w:eastAsia="uk-UA"/>
    </w:rPr>
  </w:style>
  <w:style w:type="paragraph" w:styleId="ab">
    <w:name w:val="Intense Quote"/>
    <w:basedOn w:val="a"/>
    <w:next w:val="a"/>
    <w:link w:val="ac"/>
    <w:uiPriority w:val="99"/>
    <w:qFormat/>
    <w:rsid w:val="00BA2144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en-US" w:eastAsia="uk-UA"/>
    </w:rPr>
  </w:style>
  <w:style w:type="character" w:customStyle="1" w:styleId="ac">
    <w:name w:val="Выделенная цитата Знак"/>
    <w:basedOn w:val="a0"/>
    <w:link w:val="ab"/>
    <w:uiPriority w:val="99"/>
    <w:rsid w:val="00BA2144"/>
    <w:rPr>
      <w:rFonts w:ascii="Calibri" w:eastAsia="Times New Roman" w:hAnsi="Calibri" w:cs="Times New Roman"/>
      <w:b/>
      <w:i/>
      <w:sz w:val="24"/>
      <w:szCs w:val="20"/>
      <w:lang w:val="en-US" w:eastAsia="uk-UA"/>
    </w:rPr>
  </w:style>
  <w:style w:type="character" w:styleId="ad">
    <w:name w:val="Subtle Emphasis"/>
    <w:basedOn w:val="a0"/>
    <w:uiPriority w:val="99"/>
    <w:qFormat/>
    <w:rsid w:val="00BA2144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A2144"/>
    <w:rPr>
      <w:rFonts w:cs="Times New Roman"/>
      <w:b/>
      <w:i/>
      <w:sz w:val="24"/>
      <w:u w:val="single"/>
    </w:rPr>
  </w:style>
  <w:style w:type="character" w:styleId="af">
    <w:name w:val="Subtle Reference"/>
    <w:basedOn w:val="a0"/>
    <w:uiPriority w:val="99"/>
    <w:qFormat/>
    <w:rsid w:val="00BA2144"/>
    <w:rPr>
      <w:rFonts w:cs="Times New Roman"/>
      <w:sz w:val="24"/>
      <w:u w:val="single"/>
    </w:rPr>
  </w:style>
  <w:style w:type="character" w:styleId="af0">
    <w:name w:val="Intense Reference"/>
    <w:basedOn w:val="a0"/>
    <w:uiPriority w:val="99"/>
    <w:qFormat/>
    <w:rsid w:val="00BA2144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A2144"/>
    <w:rPr>
      <w:rFonts w:ascii="Cambria" w:hAnsi="Cambria" w:cs="Times New Roman"/>
      <w:b/>
      <w:i/>
      <w:sz w:val="24"/>
    </w:rPr>
  </w:style>
  <w:style w:type="paragraph" w:styleId="af2">
    <w:name w:val="TOC Heading"/>
    <w:basedOn w:val="1"/>
    <w:next w:val="a"/>
    <w:uiPriority w:val="99"/>
    <w:qFormat/>
    <w:rsid w:val="00BA2144"/>
    <w:pPr>
      <w:outlineLvl w:val="9"/>
    </w:pPr>
  </w:style>
  <w:style w:type="table" w:styleId="af3">
    <w:name w:val="Table Grid"/>
    <w:basedOn w:val="a1"/>
    <w:uiPriority w:val="99"/>
    <w:rsid w:val="00BA214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A214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 w:eastAsia="uk-UA"/>
    </w:rPr>
  </w:style>
  <w:style w:type="paragraph" w:styleId="2">
    <w:name w:val="heading 2"/>
    <w:basedOn w:val="a"/>
    <w:next w:val="a"/>
    <w:link w:val="20"/>
    <w:uiPriority w:val="99"/>
    <w:qFormat/>
    <w:rsid w:val="00BA214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en-US" w:eastAsia="uk-UA"/>
    </w:rPr>
  </w:style>
  <w:style w:type="paragraph" w:styleId="3">
    <w:name w:val="heading 3"/>
    <w:basedOn w:val="a"/>
    <w:next w:val="a"/>
    <w:link w:val="30"/>
    <w:uiPriority w:val="99"/>
    <w:qFormat/>
    <w:rsid w:val="00BA214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uk-UA"/>
    </w:rPr>
  </w:style>
  <w:style w:type="paragraph" w:styleId="4">
    <w:name w:val="heading 4"/>
    <w:basedOn w:val="a"/>
    <w:next w:val="a"/>
    <w:link w:val="40"/>
    <w:uiPriority w:val="99"/>
    <w:qFormat/>
    <w:rsid w:val="00BA214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uk-UA"/>
    </w:rPr>
  </w:style>
  <w:style w:type="paragraph" w:styleId="5">
    <w:name w:val="heading 5"/>
    <w:basedOn w:val="a"/>
    <w:next w:val="a"/>
    <w:link w:val="50"/>
    <w:uiPriority w:val="99"/>
    <w:qFormat/>
    <w:rsid w:val="00BA214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uk-UA"/>
    </w:rPr>
  </w:style>
  <w:style w:type="paragraph" w:styleId="6">
    <w:name w:val="heading 6"/>
    <w:basedOn w:val="a"/>
    <w:next w:val="a"/>
    <w:link w:val="60"/>
    <w:uiPriority w:val="99"/>
    <w:qFormat/>
    <w:rsid w:val="00BA214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en-US" w:eastAsia="uk-UA"/>
    </w:rPr>
  </w:style>
  <w:style w:type="paragraph" w:styleId="7">
    <w:name w:val="heading 7"/>
    <w:basedOn w:val="a"/>
    <w:next w:val="a"/>
    <w:link w:val="70"/>
    <w:uiPriority w:val="99"/>
    <w:qFormat/>
    <w:rsid w:val="00BA214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uk-UA"/>
    </w:rPr>
  </w:style>
  <w:style w:type="paragraph" w:styleId="8">
    <w:name w:val="heading 8"/>
    <w:basedOn w:val="a"/>
    <w:next w:val="a"/>
    <w:link w:val="80"/>
    <w:uiPriority w:val="99"/>
    <w:qFormat/>
    <w:rsid w:val="00BA214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uk-UA"/>
    </w:rPr>
  </w:style>
  <w:style w:type="paragraph" w:styleId="9">
    <w:name w:val="heading 9"/>
    <w:basedOn w:val="a"/>
    <w:next w:val="a"/>
    <w:link w:val="90"/>
    <w:uiPriority w:val="99"/>
    <w:qFormat/>
    <w:rsid w:val="00BA2144"/>
    <w:pPr>
      <w:spacing w:before="240" w:after="60" w:line="240" w:lineRule="auto"/>
      <w:outlineLvl w:val="8"/>
    </w:pPr>
    <w:rPr>
      <w:rFonts w:ascii="Cambria" w:eastAsia="Calibri" w:hAnsi="Cambria" w:cs="Times New Roman"/>
      <w:sz w:val="20"/>
      <w:szCs w:val="20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A2144"/>
    <w:rPr>
      <w:rFonts w:ascii="Cambria" w:eastAsia="Calibri" w:hAnsi="Cambria" w:cs="Times New Roman"/>
      <w:b/>
      <w:bCs/>
      <w:kern w:val="32"/>
      <w:sz w:val="32"/>
      <w:szCs w:val="32"/>
      <w:lang w:val="en-US" w:eastAsia="uk-UA"/>
    </w:rPr>
  </w:style>
  <w:style w:type="character" w:customStyle="1" w:styleId="20">
    <w:name w:val="Заголовок 2 Знак"/>
    <w:basedOn w:val="a0"/>
    <w:link w:val="2"/>
    <w:uiPriority w:val="99"/>
    <w:rsid w:val="00BA2144"/>
    <w:rPr>
      <w:rFonts w:ascii="Cambria" w:eastAsia="Calibri" w:hAnsi="Cambria" w:cs="Times New Roman"/>
      <w:b/>
      <w:bCs/>
      <w:i/>
      <w:iCs/>
      <w:sz w:val="28"/>
      <w:szCs w:val="28"/>
      <w:lang w:val="en-US" w:eastAsia="uk-UA"/>
    </w:rPr>
  </w:style>
  <w:style w:type="character" w:customStyle="1" w:styleId="30">
    <w:name w:val="Заголовок 3 Знак"/>
    <w:basedOn w:val="a0"/>
    <w:link w:val="3"/>
    <w:uiPriority w:val="99"/>
    <w:rsid w:val="00BA2144"/>
    <w:rPr>
      <w:rFonts w:ascii="Cambria" w:eastAsia="Calibri" w:hAnsi="Cambria" w:cs="Times New Roman"/>
      <w:b/>
      <w:bCs/>
      <w:sz w:val="26"/>
      <w:szCs w:val="26"/>
      <w:lang w:val="en-US" w:eastAsia="uk-UA"/>
    </w:rPr>
  </w:style>
  <w:style w:type="character" w:customStyle="1" w:styleId="40">
    <w:name w:val="Заголовок 4 Знак"/>
    <w:basedOn w:val="a0"/>
    <w:link w:val="4"/>
    <w:uiPriority w:val="99"/>
    <w:rsid w:val="00BA2144"/>
    <w:rPr>
      <w:rFonts w:ascii="Calibri" w:eastAsia="Times New Roman" w:hAnsi="Calibri" w:cs="Times New Roman"/>
      <w:b/>
      <w:bCs/>
      <w:sz w:val="28"/>
      <w:szCs w:val="28"/>
      <w:lang w:val="en-US" w:eastAsia="uk-UA"/>
    </w:rPr>
  </w:style>
  <w:style w:type="character" w:customStyle="1" w:styleId="50">
    <w:name w:val="Заголовок 5 Знак"/>
    <w:basedOn w:val="a0"/>
    <w:link w:val="5"/>
    <w:uiPriority w:val="99"/>
    <w:rsid w:val="00BA2144"/>
    <w:rPr>
      <w:rFonts w:ascii="Calibri" w:eastAsia="Times New Roman" w:hAnsi="Calibri" w:cs="Times New Roman"/>
      <w:b/>
      <w:bCs/>
      <w:i/>
      <w:iCs/>
      <w:sz w:val="26"/>
      <w:szCs w:val="26"/>
      <w:lang w:val="en-US" w:eastAsia="uk-UA"/>
    </w:rPr>
  </w:style>
  <w:style w:type="character" w:customStyle="1" w:styleId="60">
    <w:name w:val="Заголовок 6 Знак"/>
    <w:basedOn w:val="a0"/>
    <w:link w:val="6"/>
    <w:uiPriority w:val="99"/>
    <w:rsid w:val="00BA2144"/>
    <w:rPr>
      <w:rFonts w:ascii="Calibri" w:eastAsia="Times New Roman" w:hAnsi="Calibri" w:cs="Times New Roman"/>
      <w:b/>
      <w:bCs/>
      <w:sz w:val="20"/>
      <w:szCs w:val="20"/>
      <w:lang w:val="en-US" w:eastAsia="uk-UA"/>
    </w:rPr>
  </w:style>
  <w:style w:type="character" w:customStyle="1" w:styleId="70">
    <w:name w:val="Заголовок 7 Знак"/>
    <w:basedOn w:val="a0"/>
    <w:link w:val="7"/>
    <w:uiPriority w:val="99"/>
    <w:rsid w:val="00BA2144"/>
    <w:rPr>
      <w:rFonts w:ascii="Calibri" w:eastAsia="Times New Roman" w:hAnsi="Calibri" w:cs="Times New Roman"/>
      <w:sz w:val="24"/>
      <w:szCs w:val="24"/>
      <w:lang w:val="en-US" w:eastAsia="uk-UA"/>
    </w:rPr>
  </w:style>
  <w:style w:type="character" w:customStyle="1" w:styleId="80">
    <w:name w:val="Заголовок 8 Знак"/>
    <w:basedOn w:val="a0"/>
    <w:link w:val="8"/>
    <w:uiPriority w:val="99"/>
    <w:rsid w:val="00BA2144"/>
    <w:rPr>
      <w:rFonts w:ascii="Calibri" w:eastAsia="Times New Roman" w:hAnsi="Calibri" w:cs="Times New Roman"/>
      <w:i/>
      <w:iCs/>
      <w:sz w:val="24"/>
      <w:szCs w:val="24"/>
      <w:lang w:val="en-US" w:eastAsia="uk-UA"/>
    </w:rPr>
  </w:style>
  <w:style w:type="character" w:customStyle="1" w:styleId="90">
    <w:name w:val="Заголовок 9 Знак"/>
    <w:basedOn w:val="a0"/>
    <w:link w:val="9"/>
    <w:uiPriority w:val="99"/>
    <w:rsid w:val="00BA2144"/>
    <w:rPr>
      <w:rFonts w:ascii="Cambria" w:eastAsia="Calibri" w:hAnsi="Cambria" w:cs="Times New Roman"/>
      <w:sz w:val="20"/>
      <w:szCs w:val="20"/>
      <w:lang w:val="en-US" w:eastAsia="uk-UA"/>
    </w:rPr>
  </w:style>
  <w:style w:type="numbering" w:customStyle="1" w:styleId="11">
    <w:name w:val="Нет списка1"/>
    <w:next w:val="a2"/>
    <w:uiPriority w:val="99"/>
    <w:semiHidden/>
    <w:unhideWhenUsed/>
    <w:rsid w:val="00BA2144"/>
  </w:style>
  <w:style w:type="paragraph" w:styleId="a3">
    <w:name w:val="Title"/>
    <w:basedOn w:val="a"/>
    <w:next w:val="a"/>
    <w:link w:val="a4"/>
    <w:uiPriority w:val="99"/>
    <w:qFormat/>
    <w:rsid w:val="00BA214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 w:eastAsia="uk-UA"/>
    </w:rPr>
  </w:style>
  <w:style w:type="character" w:customStyle="1" w:styleId="a4">
    <w:name w:val="Название Знак"/>
    <w:basedOn w:val="a0"/>
    <w:link w:val="a3"/>
    <w:uiPriority w:val="99"/>
    <w:rsid w:val="00BA2144"/>
    <w:rPr>
      <w:rFonts w:ascii="Cambria" w:eastAsia="Calibri" w:hAnsi="Cambria" w:cs="Times New Roman"/>
      <w:b/>
      <w:bCs/>
      <w:kern w:val="28"/>
      <w:sz w:val="32"/>
      <w:szCs w:val="32"/>
      <w:lang w:val="en-US" w:eastAsia="uk-UA"/>
    </w:rPr>
  </w:style>
  <w:style w:type="paragraph" w:styleId="a5">
    <w:name w:val="Subtitle"/>
    <w:basedOn w:val="a"/>
    <w:next w:val="a"/>
    <w:link w:val="a6"/>
    <w:uiPriority w:val="99"/>
    <w:qFormat/>
    <w:rsid w:val="00BA214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 w:eastAsia="uk-UA"/>
    </w:rPr>
  </w:style>
  <w:style w:type="character" w:customStyle="1" w:styleId="a6">
    <w:name w:val="Подзаголовок Знак"/>
    <w:basedOn w:val="a0"/>
    <w:link w:val="a5"/>
    <w:uiPriority w:val="99"/>
    <w:rsid w:val="00BA2144"/>
    <w:rPr>
      <w:rFonts w:ascii="Cambria" w:eastAsia="Calibri" w:hAnsi="Cambria" w:cs="Times New Roman"/>
      <w:sz w:val="24"/>
      <w:szCs w:val="24"/>
      <w:lang w:val="en-US" w:eastAsia="uk-UA"/>
    </w:rPr>
  </w:style>
  <w:style w:type="character" w:styleId="a7">
    <w:name w:val="Strong"/>
    <w:basedOn w:val="a0"/>
    <w:uiPriority w:val="99"/>
    <w:qFormat/>
    <w:rsid w:val="00BA2144"/>
    <w:rPr>
      <w:rFonts w:cs="Times New Roman"/>
      <w:b/>
    </w:rPr>
  </w:style>
  <w:style w:type="character" w:styleId="a8">
    <w:name w:val="Emphasis"/>
    <w:basedOn w:val="a0"/>
    <w:uiPriority w:val="99"/>
    <w:qFormat/>
    <w:rsid w:val="00BA2144"/>
    <w:rPr>
      <w:rFonts w:ascii="Calibri" w:hAnsi="Calibri" w:cs="Times New Roman"/>
      <w:b/>
      <w:i/>
    </w:rPr>
  </w:style>
  <w:style w:type="paragraph" w:styleId="a9">
    <w:name w:val="No Spacing"/>
    <w:basedOn w:val="a"/>
    <w:uiPriority w:val="99"/>
    <w:qFormat/>
    <w:rsid w:val="00BA214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a">
    <w:name w:val="List Paragraph"/>
    <w:basedOn w:val="a"/>
    <w:uiPriority w:val="99"/>
    <w:qFormat/>
    <w:rsid w:val="00BA214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21">
    <w:name w:val="Quote"/>
    <w:basedOn w:val="a"/>
    <w:next w:val="a"/>
    <w:link w:val="22"/>
    <w:uiPriority w:val="99"/>
    <w:qFormat/>
    <w:rsid w:val="00BA2144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uk-UA"/>
    </w:rPr>
  </w:style>
  <w:style w:type="character" w:customStyle="1" w:styleId="22">
    <w:name w:val="Цитата 2 Знак"/>
    <w:basedOn w:val="a0"/>
    <w:link w:val="21"/>
    <w:uiPriority w:val="99"/>
    <w:rsid w:val="00BA2144"/>
    <w:rPr>
      <w:rFonts w:ascii="Calibri" w:eastAsia="Times New Roman" w:hAnsi="Calibri" w:cs="Times New Roman"/>
      <w:i/>
      <w:sz w:val="24"/>
      <w:szCs w:val="24"/>
      <w:lang w:val="en-US" w:eastAsia="uk-UA"/>
    </w:rPr>
  </w:style>
  <w:style w:type="paragraph" w:styleId="ab">
    <w:name w:val="Intense Quote"/>
    <w:basedOn w:val="a"/>
    <w:next w:val="a"/>
    <w:link w:val="ac"/>
    <w:uiPriority w:val="99"/>
    <w:qFormat/>
    <w:rsid w:val="00BA2144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en-US" w:eastAsia="uk-UA"/>
    </w:rPr>
  </w:style>
  <w:style w:type="character" w:customStyle="1" w:styleId="ac">
    <w:name w:val="Выделенная цитата Знак"/>
    <w:basedOn w:val="a0"/>
    <w:link w:val="ab"/>
    <w:uiPriority w:val="99"/>
    <w:rsid w:val="00BA2144"/>
    <w:rPr>
      <w:rFonts w:ascii="Calibri" w:eastAsia="Times New Roman" w:hAnsi="Calibri" w:cs="Times New Roman"/>
      <w:b/>
      <w:i/>
      <w:sz w:val="24"/>
      <w:szCs w:val="20"/>
      <w:lang w:val="en-US" w:eastAsia="uk-UA"/>
    </w:rPr>
  </w:style>
  <w:style w:type="character" w:styleId="ad">
    <w:name w:val="Subtle Emphasis"/>
    <w:basedOn w:val="a0"/>
    <w:uiPriority w:val="99"/>
    <w:qFormat/>
    <w:rsid w:val="00BA2144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A2144"/>
    <w:rPr>
      <w:rFonts w:cs="Times New Roman"/>
      <w:b/>
      <w:i/>
      <w:sz w:val="24"/>
      <w:u w:val="single"/>
    </w:rPr>
  </w:style>
  <w:style w:type="character" w:styleId="af">
    <w:name w:val="Subtle Reference"/>
    <w:basedOn w:val="a0"/>
    <w:uiPriority w:val="99"/>
    <w:qFormat/>
    <w:rsid w:val="00BA2144"/>
    <w:rPr>
      <w:rFonts w:cs="Times New Roman"/>
      <w:sz w:val="24"/>
      <w:u w:val="single"/>
    </w:rPr>
  </w:style>
  <w:style w:type="character" w:styleId="af0">
    <w:name w:val="Intense Reference"/>
    <w:basedOn w:val="a0"/>
    <w:uiPriority w:val="99"/>
    <w:qFormat/>
    <w:rsid w:val="00BA2144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A2144"/>
    <w:rPr>
      <w:rFonts w:ascii="Cambria" w:hAnsi="Cambria" w:cs="Times New Roman"/>
      <w:b/>
      <w:i/>
      <w:sz w:val="24"/>
    </w:rPr>
  </w:style>
  <w:style w:type="paragraph" w:styleId="af2">
    <w:name w:val="TOC Heading"/>
    <w:basedOn w:val="1"/>
    <w:next w:val="a"/>
    <w:uiPriority w:val="99"/>
    <w:qFormat/>
    <w:rsid w:val="00BA2144"/>
    <w:pPr>
      <w:outlineLvl w:val="9"/>
    </w:pPr>
  </w:style>
  <w:style w:type="table" w:styleId="af3">
    <w:name w:val="Table Grid"/>
    <w:basedOn w:val="a1"/>
    <w:uiPriority w:val="99"/>
    <w:rsid w:val="00BA214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0711E-0128-4A09-930F-C691CAB4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3417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userBur0806</cp:lastModifiedBy>
  <cp:revision>5</cp:revision>
  <dcterms:created xsi:type="dcterms:W3CDTF">2021-03-18T06:43:00Z</dcterms:created>
  <dcterms:modified xsi:type="dcterms:W3CDTF">2021-03-31T07:01:00Z</dcterms:modified>
</cp:coreProperties>
</file>