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70" w:rsidRPr="00010F70" w:rsidRDefault="00010F70" w:rsidP="00010F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010F70" w:rsidRPr="00010F70" w:rsidRDefault="00010F70" w:rsidP="00010F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010F70" w:rsidRPr="00010F70" w:rsidRDefault="00010F70" w:rsidP="00010F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02 серпня 2013 року</w:t>
      </w:r>
    </w:p>
    <w:p w:rsidR="00010F70" w:rsidRPr="00010F70" w:rsidRDefault="00010F70" w:rsidP="00010F70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скликання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27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виконавчого комітету міської ради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06.08.2013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року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Керуючись ст. 53 Закону України «Про місцеве самоврядування в Україні», Законом України «Про захист персональних даних», 06.08.2013 р. о 9.00 в кабінеті секретаря міської </w:t>
      </w:r>
      <w:proofErr w:type="gramStart"/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ради</w:t>
      </w:r>
      <w:proofErr w:type="gramEnd"/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(каб. 76), вул. Леніна, 32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010F70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10F70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010F7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27</w:t>
      </w:r>
      <w:r w:rsidRPr="00010F70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010F70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10F70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010F7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27</w:t>
      </w:r>
      <w:r w:rsidRPr="00010F70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010F70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10F70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оприлюднюється частково.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010F70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10F70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010F70" w:rsidRPr="00010F70" w:rsidTr="00010F70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70" w:rsidRPr="00010F70" w:rsidRDefault="00010F70" w:rsidP="00010F7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10F7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70" w:rsidRPr="00010F70" w:rsidRDefault="00010F70" w:rsidP="00010F7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10F7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70" w:rsidRPr="00010F70" w:rsidRDefault="00010F70" w:rsidP="00010F7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10F7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F7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 розпорядження міського голови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lastRenderedPageBreak/>
        <w:t>02 серпня 2013 року № 255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010F70" w:rsidRPr="00010F70" w:rsidRDefault="00010F70" w:rsidP="00010F70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27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роботу комісії з питань своєчасності і повноти сплати податків до місцевого бюджету, погашення заборгованості з виплати заробітної плати та інших соціальних виплат за 1 півріччя 2013р.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роботу підприємств промислового комплексу міста Сєвєродонецька за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1 півріччя 2013 року.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магазину "Гастроном "Мечта" підприємця Соколець С.В., розташованого за адресою: м.Сєвєродонецьк, квартал МЖК "Мрія", буд. 9.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магазину "Світло" підприємця Горлова Д.В., розташованого за адресою: м.Сєвєродонецьк, пр.Гвардійський, буд. № 55-В.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с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алону краси "ДА!"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підприємця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Отвагіної Н.В., розташованого за адресою: м.Сєвєродонецьк, пр.Гвардійський, буд. № 35.</w:t>
      </w:r>
    </w:p>
    <w:p w:rsidR="00010F70" w:rsidRPr="00010F70" w:rsidRDefault="00010F70" w:rsidP="00010F70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010F7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Чернишин П.Г. - заступник міського голови.</w:t>
      </w:r>
    </w:p>
    <w:p w:rsidR="00010F70" w:rsidRPr="00010F70" w:rsidRDefault="00010F70" w:rsidP="00010F70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нагородження Почесними грамотами виконавчого комітету до Дня будівельника.</w:t>
      </w:r>
    </w:p>
    <w:p w:rsidR="00010F70" w:rsidRPr="00010F70" w:rsidRDefault="00010F70" w:rsidP="00010F70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010F7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Єфименко Л.Ф. - керуючий справами виконкому.</w:t>
      </w:r>
    </w:p>
    <w:p w:rsidR="00010F70" w:rsidRPr="00010F70" w:rsidRDefault="00010F70" w:rsidP="00010F70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одноразової матеріальної допомоги.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допомоги на поховання.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дарування частки 1-кімнатної квартири на ім’я неповнолітнього Дубінкіна С.С.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продажу частки 2-кімнатної квартири від імені малолітнього Земляного С.С.</w:t>
      </w:r>
    </w:p>
    <w:p w:rsidR="00010F70" w:rsidRPr="00010F70" w:rsidRDefault="00010F70" w:rsidP="00010F70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010F7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 С.Ф. - заступник міського голови.</w:t>
      </w:r>
    </w:p>
    <w:p w:rsidR="00010F70" w:rsidRPr="00010F70" w:rsidRDefault="00010F70" w:rsidP="00010F70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скасування рішення виконавчого комітету від 04.10.2011 року № 1280 "Про затвердження "Порядку оформлення та склад документів по приватизації житла громадян, які мешкають в житлових багатоквартирних і одноквартирних будинках та гуртожитках Сєвєродонецької міської ради".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затвердження складу комісії з питань створення та діяльності об’єднань співвласників багатоквартирного будинку.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передачу з балансу КП "Житлосервіс "Добробут" на баланс ОСББ "Мир-20" житлового будинку за адресою: м.Сєвєродонецьк, вул.Єгорова, 20.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зняття з квартирного обліку та з черги на одержання жилої площі у гуртожитках.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постановку громадян на квартирний облік та до черги на одержання жилої площі у гуртожитках.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жилої площі у гуртожитках.</w:t>
      </w:r>
    </w:p>
    <w:p w:rsidR="00010F70" w:rsidRPr="00010F70" w:rsidRDefault="00010F70" w:rsidP="00010F70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010F7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Чернишин П.Г. - заступник міського голови.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дозволу на встановлення меморіальної дошки на честь заслуженого будівельника УРСР Панаіта В.В.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дозволу на встановлення меморіальної дошки на честь заслуженого будівельника УРСР Кір’якова Д.Я.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на розміщення зовнішньої реклами приватному нотаріусу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Глаговській О.В.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продовження терміну дії дозволу на розміщення зовнішньої реклами ФОП Шатіловій В.В.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внесення змін до рішення виконкому міської ради № 615 від 30.07.2013р. "Про продовження терміну дії дозволів на розміщення зовнішньої реклами ФОП Ферту К.В.".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прирейкового складу аеропорту, розташованого в районі 2-ої прохідної ПрАТ "Сєвєродонецьке об’єднання Азот" (промислова зона).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вбудованого приміщення косметологічного кабінету, розташованого по пр.Гвардійський, буд. 71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-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г, мкр-н 80.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зміну фунціонального призначення нежилого приміщення, яке належить гр.Мицикову С.І., на магазин продовольчих товарів (без проведення будівельних робіт) за адресою: м.Сєвєродонецьк, пр.Радянський, буд. № 33-в (кв-л № 42).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"Добробут" на реконструкцію фасаду будинку та гр.Єрченку С.І. на перепланування квартири з улаштуванням балкону за адресою: м.Сєвєродонецьк,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(персональні дані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).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"Світанок" на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перепланування та переобладнання кімнати гуртожитку за адресою: м.Сєвєродонецьк, пр.Радянський, буд. № 74-а, секція № 2, кім. № 26 (кв-л № 65).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010F7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10F7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"Добробут" на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перепланування та переобладнання кімнати гуртожитку за адресою: м.Сєвєродонецьк, вул.Танкістів, буд. № 30,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</w:t>
      </w: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кім. № 113, 113а (кв-л № 47).</w:t>
      </w:r>
    </w:p>
    <w:p w:rsidR="00010F70" w:rsidRPr="00010F70" w:rsidRDefault="00010F70" w:rsidP="00010F70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010F7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10F7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 - заступник міського голови.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lastRenderedPageBreak/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10F70" w:rsidRPr="00010F70" w:rsidRDefault="00010F70" w:rsidP="00010F70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010F70" w:rsidRPr="00010F70" w:rsidTr="00010F70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70" w:rsidRPr="00010F70" w:rsidRDefault="00010F70" w:rsidP="00010F7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10F7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70" w:rsidRPr="00010F70" w:rsidRDefault="00010F70" w:rsidP="00010F7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10F7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70" w:rsidRPr="00010F70" w:rsidRDefault="00010F70" w:rsidP="00010F7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10F7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010F70" w:rsidRPr="00010F70" w:rsidRDefault="00010F70" w:rsidP="00010F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10F7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010F70"/>
    <w:rsid w:val="00010F70"/>
    <w:rsid w:val="00A46C0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10F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0F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0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0F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010F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10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10F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F70"/>
  </w:style>
  <w:style w:type="character" w:styleId="a6">
    <w:name w:val="Emphasis"/>
    <w:basedOn w:val="a0"/>
    <w:uiPriority w:val="20"/>
    <w:qFormat/>
    <w:rsid w:val="00010F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0</DocSecurity>
  <Lines>34</Lines>
  <Paragraphs>9</Paragraphs>
  <ScaleCrop>false</ScaleCrop>
  <Company>Северодонецкие вести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2016-09-05T13:25:00Z</dcterms:created>
  <dcterms:modified xsi:type="dcterms:W3CDTF">2016-09-05T13:26:00Z</dcterms:modified>
</cp:coreProperties>
</file>